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15" w:rsidRPr="00C25C36" w:rsidRDefault="00BC5915" w:rsidP="00BC5915">
      <w:pPr>
        <w:tabs>
          <w:tab w:val="left" w:pos="0"/>
          <w:tab w:val="left" w:pos="9000"/>
        </w:tabs>
        <w:autoSpaceDE w:val="0"/>
        <w:autoSpaceDN w:val="0"/>
        <w:adjustRightInd w:val="0"/>
        <w:spacing w:line="360" w:lineRule="auto"/>
        <w:ind w:left="450" w:right="-277"/>
        <w:jc w:val="center"/>
        <w:rPr>
          <w:rFonts w:asciiTheme="majorBidi" w:hAnsiTheme="majorBidi" w:cstheme="majorBidi"/>
          <w:b/>
          <w:bCs/>
          <w:sz w:val="32"/>
          <w:szCs w:val="32"/>
        </w:rPr>
      </w:pPr>
      <w:hyperlink r:id="rId6" w:history="1">
        <w:r w:rsidRPr="00C25C36">
          <w:rPr>
            <w:rFonts w:asciiTheme="majorBidi" w:hAnsiTheme="majorBidi" w:cstheme="majorBidi"/>
            <w:b/>
            <w:bCs/>
            <w:sz w:val="32"/>
            <w:szCs w:val="32"/>
          </w:rPr>
          <w:t>Effects Of Vancomycin On Staphylococcus</w:t>
        </w:r>
        <w:r w:rsidRPr="00C25C36">
          <w:rPr>
            <w:rFonts w:asciiTheme="majorBidi" w:eastAsia="Calibri" w:hAnsiTheme="majorBidi" w:cstheme="majorBidi"/>
            <w:b/>
            <w:bCs/>
            <w:sz w:val="32"/>
            <w:szCs w:val="32"/>
          </w:rPr>
          <w:t xml:space="preserve"> aureus</w:t>
        </w:r>
        <w:r w:rsidRPr="00C25C36">
          <w:rPr>
            <w:rFonts w:asciiTheme="majorBidi" w:hAnsiTheme="majorBidi" w:cstheme="majorBidi"/>
            <w:b/>
            <w:bCs/>
            <w:sz w:val="32"/>
            <w:szCs w:val="32"/>
          </w:rPr>
          <w:t xml:space="preserve"> </w:t>
        </w:r>
      </w:hyperlink>
      <w:r w:rsidRPr="00C25C36">
        <w:rPr>
          <w:rFonts w:asciiTheme="majorBidi" w:hAnsiTheme="majorBidi" w:cstheme="majorBidi"/>
          <w:b/>
          <w:bCs/>
          <w:sz w:val="32"/>
          <w:szCs w:val="32"/>
        </w:rPr>
        <w:t xml:space="preserve"> </w:t>
      </w:r>
    </w:p>
    <w:p w:rsidR="00BC5915" w:rsidRPr="00207813" w:rsidRDefault="00BC5915" w:rsidP="00BC5915">
      <w:pPr>
        <w:tabs>
          <w:tab w:val="left" w:pos="0"/>
          <w:tab w:val="left" w:pos="9000"/>
        </w:tabs>
        <w:autoSpaceDE w:val="0"/>
        <w:autoSpaceDN w:val="0"/>
        <w:adjustRightInd w:val="0"/>
        <w:spacing w:line="360" w:lineRule="auto"/>
        <w:ind w:left="450" w:right="-277"/>
        <w:jc w:val="center"/>
        <w:rPr>
          <w:rFonts w:asciiTheme="majorBidi" w:hAnsiTheme="majorBidi" w:cstheme="majorBidi"/>
          <w:b/>
          <w:bCs/>
          <w:sz w:val="32"/>
          <w:szCs w:val="32"/>
          <w:rtl/>
          <w:lang w:bidi="ar-IQ"/>
        </w:rPr>
      </w:pPr>
      <w:r w:rsidRPr="00207813">
        <w:rPr>
          <w:rFonts w:asciiTheme="majorBidi" w:hAnsiTheme="majorBidi" w:cstheme="majorBidi"/>
          <w:b/>
          <w:bCs/>
          <w:sz w:val="32"/>
          <w:szCs w:val="32"/>
        </w:rPr>
        <w:t>Biofilm Genes Expression</w:t>
      </w:r>
    </w:p>
    <w:p w:rsidR="00BC5915" w:rsidRPr="00F204FC" w:rsidRDefault="00BC5915" w:rsidP="00BC5915">
      <w:pPr>
        <w:spacing w:line="360" w:lineRule="auto"/>
        <w:ind w:left="90" w:right="-450"/>
        <w:jc w:val="center"/>
        <w:rPr>
          <w:rFonts w:asciiTheme="majorBidi" w:hAnsiTheme="majorBidi" w:cstheme="majorBidi"/>
          <w:b/>
          <w:i/>
          <w:sz w:val="28"/>
          <w:szCs w:val="28"/>
        </w:rPr>
      </w:pPr>
      <w:r w:rsidRPr="00F204FC">
        <w:rPr>
          <w:rFonts w:asciiTheme="majorBidi" w:hAnsiTheme="majorBidi" w:cstheme="majorBidi"/>
          <w:sz w:val="28"/>
          <w:szCs w:val="28"/>
        </w:rPr>
        <w:t>Salman Sahab Atshan,</w:t>
      </w:r>
      <w:r w:rsidRPr="00F204FC">
        <w:rPr>
          <w:rFonts w:asciiTheme="majorBidi" w:hAnsiTheme="majorBidi" w:cstheme="majorBidi"/>
          <w:sz w:val="28"/>
          <w:szCs w:val="28"/>
          <w:vertAlign w:val="superscript"/>
        </w:rPr>
        <w:t>a</w:t>
      </w:r>
    </w:p>
    <w:p w:rsidR="00BC5915" w:rsidRPr="00F204FC" w:rsidRDefault="00BC5915" w:rsidP="00BC5915">
      <w:pPr>
        <w:tabs>
          <w:tab w:val="left" w:pos="9090"/>
        </w:tabs>
        <w:autoSpaceDE w:val="0"/>
        <w:autoSpaceDN w:val="0"/>
        <w:adjustRightInd w:val="0"/>
        <w:spacing w:line="360" w:lineRule="auto"/>
        <w:ind w:left="90" w:right="-450"/>
        <w:jc w:val="center"/>
        <w:rPr>
          <w:rFonts w:asciiTheme="majorBidi" w:hAnsiTheme="majorBidi" w:cstheme="majorBidi"/>
          <w:sz w:val="28"/>
          <w:szCs w:val="28"/>
          <w:rtl/>
          <w:lang w:bidi="ar-IQ"/>
        </w:rPr>
      </w:pPr>
      <w:r w:rsidRPr="00F204FC">
        <w:rPr>
          <w:rFonts w:asciiTheme="majorBidi" w:hAnsiTheme="majorBidi" w:cstheme="majorBidi"/>
          <w:sz w:val="28"/>
          <w:szCs w:val="28"/>
          <w:vertAlign w:val="superscript"/>
        </w:rPr>
        <w:t>a</w:t>
      </w:r>
      <w:r w:rsidRPr="00F204FC">
        <w:rPr>
          <w:rFonts w:asciiTheme="majorBidi" w:hAnsiTheme="majorBidi" w:cstheme="majorBidi"/>
          <w:sz w:val="28"/>
          <w:szCs w:val="28"/>
        </w:rPr>
        <w:t xml:space="preserve"> Department of Basic Sciences, Faculty of Dentistry/Basrah University/ Iraq</w:t>
      </w:r>
    </w:p>
    <w:p w:rsidR="00BC5915" w:rsidRPr="00F204FC" w:rsidRDefault="00BC5915" w:rsidP="00BC5915">
      <w:pPr>
        <w:spacing w:line="360" w:lineRule="auto"/>
        <w:ind w:left="90" w:right="-450"/>
        <w:jc w:val="center"/>
        <w:rPr>
          <w:rFonts w:asciiTheme="majorBidi" w:hAnsiTheme="majorBidi" w:cstheme="majorBidi"/>
          <w:sz w:val="28"/>
          <w:szCs w:val="28"/>
        </w:rPr>
      </w:pP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Corresponding author: </w:t>
      </w:r>
      <w:r w:rsidRPr="00F204FC">
        <w:rPr>
          <w:rFonts w:asciiTheme="majorBidi" w:hAnsiTheme="majorBidi" w:cstheme="majorBidi"/>
          <w:sz w:val="28"/>
          <w:szCs w:val="28"/>
          <w:vertAlign w:val="subscript"/>
        </w:rPr>
        <w:t xml:space="preserve"> </w:t>
      </w:r>
      <w:hyperlink r:id="rId7" w:history="1">
        <w:r w:rsidRPr="00F204FC">
          <w:rPr>
            <w:rStyle w:val="Hyperlink"/>
            <w:rFonts w:asciiTheme="majorBidi" w:hAnsiTheme="majorBidi" w:cstheme="majorBidi"/>
            <w:sz w:val="28"/>
            <w:szCs w:val="28"/>
          </w:rPr>
          <w:t>salmanatshan@yahoo.com</w:t>
        </w:r>
      </w:hyperlink>
    </w:p>
    <w:p w:rsidR="00BC5915" w:rsidRPr="00F204FC" w:rsidRDefault="00BC5915" w:rsidP="00BC5915">
      <w:pPr>
        <w:spacing w:line="360" w:lineRule="auto"/>
        <w:ind w:left="90" w:right="-450"/>
        <w:jc w:val="center"/>
        <w:rPr>
          <w:rFonts w:asciiTheme="majorBidi" w:hAnsiTheme="majorBidi" w:cstheme="majorBidi"/>
          <w:sz w:val="28"/>
          <w:szCs w:val="28"/>
        </w:rPr>
      </w:pPr>
    </w:p>
    <w:p w:rsidR="00BC5915" w:rsidRPr="00F204FC" w:rsidRDefault="00BC5915" w:rsidP="00BC5915">
      <w:pPr>
        <w:tabs>
          <w:tab w:val="left" w:pos="360"/>
        </w:tabs>
        <w:autoSpaceDE w:val="0"/>
        <w:autoSpaceDN w:val="0"/>
        <w:adjustRightInd w:val="0"/>
        <w:spacing w:line="360" w:lineRule="auto"/>
        <w:ind w:right="-7"/>
        <w:jc w:val="both"/>
        <w:rPr>
          <w:rFonts w:asciiTheme="majorBidi" w:hAnsiTheme="majorBidi" w:cstheme="majorBidi"/>
          <w:sz w:val="28"/>
          <w:szCs w:val="28"/>
          <w:lang w:bidi="ar-IQ"/>
        </w:rPr>
      </w:pPr>
      <w:r>
        <w:rPr>
          <w:rFonts w:asciiTheme="majorBidi" w:hAnsiTheme="majorBidi" w:cstheme="majorBidi" w:hint="cs"/>
          <w:sz w:val="28"/>
          <w:szCs w:val="28"/>
          <w:rtl/>
          <w:lang w:bidi="ar-IQ"/>
        </w:rPr>
        <w:tab/>
      </w:r>
      <w:r w:rsidRPr="00F204FC">
        <w:rPr>
          <w:rFonts w:asciiTheme="majorBidi" w:hAnsiTheme="majorBidi" w:cstheme="majorBidi"/>
          <w:sz w:val="28"/>
          <w:szCs w:val="28"/>
          <w:rtl/>
          <w:lang w:bidi="ar-IQ"/>
        </w:rPr>
        <w:t>خلاصة البحث يهتم بدراسة تاثير قدرة التراكي</w:t>
      </w:r>
      <w:r>
        <w:rPr>
          <w:rFonts w:asciiTheme="majorBidi" w:hAnsiTheme="majorBidi" w:cstheme="majorBidi"/>
          <w:sz w:val="28"/>
          <w:szCs w:val="28"/>
          <w:rtl/>
          <w:lang w:bidi="ar-IQ"/>
        </w:rPr>
        <w:t>ز الدنيا  لبعض المضادات الحياتي</w:t>
      </w:r>
      <w:r>
        <w:rPr>
          <w:rFonts w:asciiTheme="majorBidi" w:hAnsiTheme="majorBidi" w:cstheme="majorBidi" w:hint="cs"/>
          <w:sz w:val="28"/>
          <w:szCs w:val="28"/>
          <w:rtl/>
          <w:lang w:bidi="ar-IQ"/>
        </w:rPr>
        <w:t>ة</w:t>
      </w:r>
      <w:r w:rsidRPr="00F204FC">
        <w:rPr>
          <w:rFonts w:asciiTheme="majorBidi" w:hAnsiTheme="majorBidi" w:cstheme="majorBidi"/>
          <w:sz w:val="28"/>
          <w:szCs w:val="28"/>
          <w:rtl/>
          <w:lang w:bidi="ar-IQ"/>
        </w:rPr>
        <w:t xml:space="preserve"> ذات الطيف ا</w:t>
      </w:r>
      <w:r>
        <w:rPr>
          <w:rFonts w:asciiTheme="majorBidi" w:hAnsiTheme="majorBidi" w:cstheme="majorBidi"/>
          <w:sz w:val="28"/>
          <w:szCs w:val="28"/>
          <w:rtl/>
          <w:lang w:bidi="ar-IQ"/>
        </w:rPr>
        <w:t>لواسع على بعض المكورات العنقودي</w:t>
      </w:r>
      <w:r>
        <w:rPr>
          <w:rFonts w:asciiTheme="majorBidi" w:hAnsiTheme="majorBidi" w:cstheme="majorBidi" w:hint="cs"/>
          <w:sz w:val="28"/>
          <w:szCs w:val="28"/>
          <w:rtl/>
          <w:lang w:bidi="ar-IQ"/>
        </w:rPr>
        <w:t>ة</w:t>
      </w:r>
      <w:r w:rsidRPr="00F204FC">
        <w:rPr>
          <w:rFonts w:asciiTheme="majorBidi" w:hAnsiTheme="majorBidi" w:cstheme="majorBidi"/>
          <w:sz w:val="28"/>
          <w:szCs w:val="28"/>
          <w:rtl/>
          <w:lang w:bidi="ar-IQ"/>
        </w:rPr>
        <w:t xml:space="preserve"> الموجبة لصبغة كرام وعيوب تلك المضادا</w:t>
      </w:r>
      <w:r>
        <w:rPr>
          <w:rFonts w:asciiTheme="majorBidi" w:hAnsiTheme="majorBidi" w:cstheme="majorBidi"/>
          <w:sz w:val="28"/>
          <w:szCs w:val="28"/>
          <w:rtl/>
          <w:lang w:bidi="ar-IQ"/>
        </w:rPr>
        <w:t>ت فى تحفيز البكتيريا فى المقاوم</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وازدياد الامراضي</w:t>
      </w:r>
      <w:r>
        <w:rPr>
          <w:rFonts w:asciiTheme="majorBidi" w:hAnsiTheme="majorBidi" w:cstheme="majorBidi" w:hint="cs"/>
          <w:sz w:val="28"/>
          <w:szCs w:val="28"/>
          <w:rtl/>
          <w:lang w:bidi="ar-IQ"/>
        </w:rPr>
        <w:t>ة</w:t>
      </w:r>
      <w:r w:rsidRPr="00F204FC">
        <w:rPr>
          <w:rFonts w:asciiTheme="majorBidi" w:hAnsiTheme="majorBidi" w:cstheme="majorBidi"/>
          <w:sz w:val="28"/>
          <w:szCs w:val="28"/>
          <w:rtl/>
          <w:lang w:bidi="ar-IQ"/>
        </w:rPr>
        <w:t xml:space="preserve"> بواسط</w:t>
      </w:r>
      <w:r>
        <w:rPr>
          <w:rFonts w:asciiTheme="majorBidi" w:hAnsiTheme="majorBidi" w:cstheme="majorBidi"/>
          <w:sz w:val="28"/>
          <w:szCs w:val="28"/>
          <w:rtl/>
          <w:lang w:bidi="ar-IQ"/>
        </w:rPr>
        <w:t>ة الطرق الجزئي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الحديث</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المتقدم</w:t>
      </w:r>
      <w:r>
        <w:rPr>
          <w:rFonts w:asciiTheme="majorBidi" w:hAnsiTheme="majorBidi" w:cstheme="majorBidi" w:hint="cs"/>
          <w:sz w:val="28"/>
          <w:szCs w:val="28"/>
          <w:rtl/>
          <w:lang w:bidi="ar-IQ"/>
        </w:rPr>
        <w:t>ة</w:t>
      </w:r>
      <w:r w:rsidRPr="00F204FC">
        <w:rPr>
          <w:rFonts w:asciiTheme="majorBidi" w:hAnsiTheme="majorBidi" w:cstheme="majorBidi"/>
          <w:sz w:val="28"/>
          <w:szCs w:val="28"/>
          <w:rtl/>
          <w:lang w:bidi="ar-IQ"/>
        </w:rPr>
        <w:t xml:space="preserve">  </w:t>
      </w:r>
    </w:p>
    <w:p w:rsidR="00BC5915" w:rsidRPr="00F204FC" w:rsidRDefault="00BC5915" w:rsidP="00BC5915">
      <w:pPr>
        <w:tabs>
          <w:tab w:val="left" w:pos="450"/>
        </w:tabs>
        <w:autoSpaceDE w:val="0"/>
        <w:autoSpaceDN w:val="0"/>
        <w:bidi w:val="0"/>
        <w:adjustRightInd w:val="0"/>
        <w:spacing w:line="360" w:lineRule="auto"/>
        <w:ind w:left="450" w:right="-97"/>
        <w:jc w:val="both"/>
        <w:rPr>
          <w:rFonts w:asciiTheme="majorBidi" w:eastAsia="Calibri" w:hAnsiTheme="majorBidi" w:cstheme="majorBidi"/>
          <w:sz w:val="28"/>
          <w:szCs w:val="28"/>
        </w:rPr>
      </w:pPr>
      <w:r w:rsidRPr="00F204FC">
        <w:rPr>
          <w:rFonts w:asciiTheme="majorBidi" w:eastAsia="Calibri" w:hAnsiTheme="majorBidi" w:cstheme="majorBidi"/>
          <w:b/>
          <w:bCs/>
          <w:sz w:val="28"/>
          <w:szCs w:val="28"/>
        </w:rPr>
        <w:t>Abstract.</w:t>
      </w:r>
      <w:r w:rsidRPr="00F204FC">
        <w:rPr>
          <w:rFonts w:asciiTheme="majorBidi" w:eastAsia="Calibri" w:hAnsiTheme="majorBidi" w:cstheme="majorBidi"/>
          <w:i/>
          <w:iCs/>
          <w:sz w:val="28"/>
          <w:szCs w:val="28"/>
        </w:rPr>
        <w:t xml:space="preserve"> Staphylococcus aureus </w:t>
      </w:r>
      <w:r w:rsidRPr="00F204FC">
        <w:rPr>
          <w:rFonts w:asciiTheme="majorBidi" w:eastAsia="Calibri" w:hAnsiTheme="majorBidi" w:cstheme="majorBidi"/>
          <w:sz w:val="28"/>
          <w:szCs w:val="28"/>
        </w:rPr>
        <w:t>is well known as a major human pathogen, since microbial adherence is the initial step of many infectious processes, the ability of antibiotics to affect this property may be an important criterion in selecting an antibiotic for therapy. However, the clinical efficacy of antibiotics is not only determined by their respective bactericidal or bacteriostatic activity, but also by their action on bacterial virulence factor release, especially when present at suboptimal concentrations.</w:t>
      </w:r>
    </w:p>
    <w:p w:rsidR="00BC5915" w:rsidRPr="00F204FC" w:rsidRDefault="00BC5915" w:rsidP="00BC5915">
      <w:pPr>
        <w:tabs>
          <w:tab w:val="left" w:pos="450"/>
        </w:tabs>
        <w:autoSpaceDE w:val="0"/>
        <w:autoSpaceDN w:val="0"/>
        <w:bidi w:val="0"/>
        <w:adjustRightInd w:val="0"/>
        <w:spacing w:line="360" w:lineRule="auto"/>
        <w:ind w:left="450" w:right="-97"/>
        <w:jc w:val="both"/>
        <w:rPr>
          <w:rFonts w:asciiTheme="majorBidi" w:hAnsiTheme="majorBidi" w:cstheme="majorBidi"/>
          <w:sz w:val="28"/>
          <w:szCs w:val="28"/>
          <w:rtl/>
          <w:lang w:bidi="ar-IQ"/>
        </w:rPr>
      </w:pPr>
      <w:r w:rsidRPr="00F204FC">
        <w:rPr>
          <w:rFonts w:asciiTheme="majorBidi" w:eastAsia="Calibri" w:hAnsiTheme="majorBidi" w:cstheme="majorBidi"/>
          <w:b/>
          <w:bCs/>
          <w:sz w:val="28"/>
          <w:szCs w:val="28"/>
        </w:rPr>
        <w:t>Objective:</w:t>
      </w:r>
      <w:r w:rsidRPr="00F204FC">
        <w:rPr>
          <w:rFonts w:asciiTheme="majorBidi" w:eastAsia="Calibri" w:hAnsiTheme="majorBidi" w:cstheme="majorBidi"/>
          <w:sz w:val="28"/>
          <w:szCs w:val="28"/>
        </w:rPr>
        <w:t xml:space="preserve"> The main objective was to </w:t>
      </w:r>
      <w:r w:rsidRPr="00F204FC">
        <w:rPr>
          <w:rFonts w:asciiTheme="majorBidi" w:hAnsiTheme="majorBidi" w:cstheme="majorBidi"/>
          <w:sz w:val="28"/>
          <w:szCs w:val="28"/>
        </w:rPr>
        <w:t xml:space="preserve">study the effect of vancomycin on steady state levels of mRNA of </w:t>
      </w:r>
      <w:r w:rsidRPr="00F204FC">
        <w:rPr>
          <w:rFonts w:asciiTheme="majorBidi" w:eastAsia="Calibri" w:hAnsiTheme="majorBidi" w:cstheme="majorBidi"/>
          <w:sz w:val="28"/>
          <w:szCs w:val="28"/>
        </w:rPr>
        <w:t xml:space="preserve">biofilm target genes </w:t>
      </w:r>
      <w:r w:rsidRPr="00F204FC">
        <w:rPr>
          <w:rFonts w:asciiTheme="majorBidi" w:hAnsiTheme="majorBidi" w:cstheme="majorBidi"/>
          <w:i/>
          <w:iCs/>
          <w:sz w:val="28"/>
          <w:szCs w:val="28"/>
        </w:rPr>
        <w:t>ica</w:t>
      </w:r>
      <w:r w:rsidRPr="00F204FC">
        <w:rPr>
          <w:rFonts w:asciiTheme="majorBidi" w:hAnsiTheme="majorBidi" w:cstheme="majorBidi"/>
          <w:sz w:val="28"/>
          <w:szCs w:val="28"/>
        </w:rPr>
        <w:t>A, B.</w:t>
      </w:r>
    </w:p>
    <w:p w:rsidR="00BC5915" w:rsidRPr="00F204FC" w:rsidRDefault="00BC5915" w:rsidP="00BC5915">
      <w:pPr>
        <w:tabs>
          <w:tab w:val="left" w:pos="450"/>
        </w:tabs>
        <w:autoSpaceDE w:val="0"/>
        <w:autoSpaceDN w:val="0"/>
        <w:bidi w:val="0"/>
        <w:adjustRightInd w:val="0"/>
        <w:spacing w:line="360" w:lineRule="auto"/>
        <w:ind w:left="450" w:right="-97"/>
        <w:jc w:val="both"/>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rPr>
        <w:t xml:space="preserve">Introduction </w:t>
      </w:r>
    </w:p>
    <w:p w:rsidR="00BC5915" w:rsidRPr="00F204FC" w:rsidRDefault="00BC5915" w:rsidP="00BC5915">
      <w:pPr>
        <w:tabs>
          <w:tab w:val="left" w:pos="540"/>
        </w:tabs>
        <w:autoSpaceDE w:val="0"/>
        <w:autoSpaceDN w:val="0"/>
        <w:bidi w:val="0"/>
        <w:adjustRightInd w:val="0"/>
        <w:spacing w:line="360" w:lineRule="auto"/>
        <w:ind w:left="360" w:right="-97"/>
        <w:jc w:val="both"/>
        <w:rPr>
          <w:rFonts w:asciiTheme="majorBidi" w:eastAsia="Calibri" w:hAnsiTheme="majorBidi" w:cstheme="majorBidi"/>
          <w:sz w:val="28"/>
          <w:szCs w:val="28"/>
        </w:rPr>
      </w:pPr>
      <w:r w:rsidRPr="00F204FC">
        <w:rPr>
          <w:rFonts w:asciiTheme="majorBidi" w:eastAsia="Calibri" w:hAnsiTheme="majorBidi" w:cstheme="majorBidi"/>
          <w:i/>
          <w:iCs/>
          <w:sz w:val="28"/>
          <w:szCs w:val="28"/>
        </w:rPr>
        <w:t xml:space="preserve"> </w:t>
      </w:r>
      <w:r>
        <w:rPr>
          <w:rFonts w:asciiTheme="majorBidi" w:eastAsia="Calibri" w:hAnsiTheme="majorBidi" w:cstheme="majorBidi"/>
          <w:i/>
          <w:iCs/>
          <w:sz w:val="28"/>
          <w:szCs w:val="28"/>
        </w:rPr>
        <w:tab/>
      </w:r>
      <w:r w:rsidRPr="00F204FC">
        <w:rPr>
          <w:rFonts w:asciiTheme="majorBidi" w:eastAsia="Calibri" w:hAnsiTheme="majorBidi" w:cstheme="majorBidi"/>
          <w:i/>
          <w:iCs/>
          <w:sz w:val="28"/>
          <w:szCs w:val="28"/>
        </w:rPr>
        <w:t xml:space="preserve">Staphylococcus aureus </w:t>
      </w:r>
      <w:r w:rsidRPr="00F204FC">
        <w:rPr>
          <w:rFonts w:asciiTheme="majorBidi" w:eastAsia="Calibri" w:hAnsiTheme="majorBidi" w:cstheme="majorBidi"/>
          <w:sz w:val="28"/>
          <w:szCs w:val="28"/>
        </w:rPr>
        <w:t>is well evidenced as a major human pathogen of strong clinical significance due to increasing infections with multi-resistant isolates (</w:t>
      </w:r>
      <w:r w:rsidRPr="00F204FC">
        <w:rPr>
          <w:rFonts w:asciiTheme="majorBidi" w:hAnsiTheme="majorBidi" w:cstheme="majorBidi"/>
          <w:sz w:val="28"/>
          <w:szCs w:val="28"/>
        </w:rPr>
        <w:t xml:space="preserve">Zetola  </w:t>
      </w:r>
      <w:r w:rsidRPr="00F204FC">
        <w:rPr>
          <w:rFonts w:asciiTheme="majorBidi" w:hAnsiTheme="majorBidi" w:cstheme="majorBidi"/>
          <w:i/>
          <w:iCs/>
          <w:sz w:val="28"/>
          <w:szCs w:val="28"/>
        </w:rPr>
        <w:t>et al</w:t>
      </w:r>
      <w:r w:rsidRPr="00F204FC">
        <w:rPr>
          <w:rFonts w:asciiTheme="majorBidi" w:hAnsiTheme="majorBidi" w:cstheme="majorBidi"/>
          <w:sz w:val="28"/>
          <w:szCs w:val="28"/>
        </w:rPr>
        <w:t>., 2005).</w:t>
      </w:r>
      <w:r w:rsidRPr="00F204FC">
        <w:rPr>
          <w:rFonts w:asciiTheme="majorBidi" w:eastAsia="Calibri" w:hAnsiTheme="majorBidi" w:cstheme="majorBidi"/>
          <w:sz w:val="28"/>
          <w:szCs w:val="28"/>
        </w:rPr>
        <w:t xml:space="preserve"> Since microbial adherence is the initial step of many infectious processes, the ability of antibiotics to affect this property may be an important criterion in selecting an </w:t>
      </w:r>
      <w:r w:rsidRPr="00F204FC">
        <w:rPr>
          <w:rFonts w:asciiTheme="majorBidi" w:eastAsia="Calibri" w:hAnsiTheme="majorBidi" w:cstheme="majorBidi"/>
          <w:sz w:val="28"/>
          <w:szCs w:val="28"/>
        </w:rPr>
        <w:lastRenderedPageBreak/>
        <w:t>antibiotic for therapy (Shibl, 1987). Currently</w:t>
      </w:r>
      <w:r w:rsidRPr="00F204FC">
        <w:rPr>
          <w:rFonts w:asciiTheme="majorBidi" w:eastAsia="Calibri" w:hAnsiTheme="majorBidi" w:cstheme="majorBidi"/>
          <w:i/>
          <w:iCs/>
          <w:sz w:val="28"/>
          <w:szCs w:val="28"/>
        </w:rPr>
        <w:t xml:space="preserve"> S. aureus</w:t>
      </w:r>
      <w:r w:rsidRPr="00F204FC">
        <w:rPr>
          <w:rFonts w:asciiTheme="majorBidi" w:eastAsia="Calibri" w:hAnsiTheme="majorBidi" w:cstheme="majorBidi"/>
          <w:sz w:val="28"/>
          <w:szCs w:val="28"/>
        </w:rPr>
        <w:t xml:space="preserve"> has developed resistance to the most of β-lactam antibiotics, clindamycin, tobramycin, erythromycin and linezolid (Lindqvist </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 xml:space="preserve">, 2009; Crawford </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 xml:space="preserve">., 2007; Tsiodras </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 xml:space="preserve">, 2001). In principle antibiotics can both up and down modulate the synthesis and release of virulence factors (Bernardo </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 xml:space="preserve">., 2004). However, there have been very few reports on the effect of sub-MIC of cell wall active inhibitor antibiotics on the expression of virulence function such as, biofilm formation in different </w:t>
      </w:r>
      <w:r w:rsidRPr="00F204FC">
        <w:rPr>
          <w:rFonts w:asciiTheme="majorBidi" w:eastAsia="Calibri" w:hAnsiTheme="majorBidi" w:cstheme="majorBidi"/>
          <w:i/>
          <w:iCs/>
          <w:sz w:val="28"/>
          <w:szCs w:val="28"/>
        </w:rPr>
        <w:t>S. aureus</w:t>
      </w:r>
      <w:r w:rsidRPr="00F204FC">
        <w:rPr>
          <w:rFonts w:asciiTheme="majorBidi" w:eastAsia="Calibri" w:hAnsiTheme="majorBidi" w:cstheme="majorBidi"/>
          <w:sz w:val="28"/>
          <w:szCs w:val="28"/>
        </w:rPr>
        <w:t xml:space="preserve"> clinical isolates. Therefore, the main objective was to determine changes in the quantity of these virulence factors in the presence of cell wall inhibitor antibiotic. </w:t>
      </w:r>
    </w:p>
    <w:p w:rsidR="00BC5915" w:rsidRDefault="00BC5915" w:rsidP="00BC5915">
      <w:pPr>
        <w:tabs>
          <w:tab w:val="left" w:pos="360"/>
          <w:tab w:val="left" w:pos="540"/>
        </w:tabs>
        <w:autoSpaceDE w:val="0"/>
        <w:autoSpaceDN w:val="0"/>
        <w:bidi w:val="0"/>
        <w:adjustRightInd w:val="0"/>
        <w:spacing w:line="360" w:lineRule="auto"/>
        <w:ind w:left="360" w:right="-97"/>
        <w:jc w:val="both"/>
        <w:rPr>
          <w:rFonts w:asciiTheme="majorBidi" w:eastAsia="Calibri" w:hAnsiTheme="majorBidi" w:cstheme="majorBidi"/>
          <w:sz w:val="28"/>
          <w:szCs w:val="28"/>
        </w:rPr>
      </w:pPr>
      <w:r w:rsidRPr="00F204FC">
        <w:rPr>
          <w:rFonts w:asciiTheme="majorBidi" w:eastAsia="Calibri" w:hAnsiTheme="majorBidi" w:cstheme="majorBidi"/>
          <w:b/>
          <w:bCs/>
          <w:sz w:val="28"/>
          <w:szCs w:val="28"/>
        </w:rPr>
        <w:t>Material and Methods:</w:t>
      </w:r>
      <w:r w:rsidRPr="00F204FC">
        <w:rPr>
          <w:rFonts w:asciiTheme="majorBidi" w:eastAsia="Calibri" w:hAnsiTheme="majorBidi" w:cstheme="majorBidi"/>
          <w:sz w:val="28"/>
          <w:szCs w:val="28"/>
        </w:rPr>
        <w:t xml:space="preserve"> Three different clinical isolates of </w:t>
      </w:r>
      <w:r w:rsidRPr="00F204FC">
        <w:rPr>
          <w:rFonts w:asciiTheme="majorBidi" w:eastAsia="Calibri" w:hAnsiTheme="majorBidi" w:cstheme="majorBidi"/>
          <w:i/>
          <w:iCs/>
          <w:sz w:val="28"/>
          <w:szCs w:val="28"/>
        </w:rPr>
        <w:t xml:space="preserve">S. aureus </w:t>
      </w:r>
      <w:r w:rsidRPr="00F204FC">
        <w:rPr>
          <w:rFonts w:asciiTheme="majorBidi" w:eastAsia="Calibri" w:hAnsiTheme="majorBidi" w:cstheme="majorBidi"/>
          <w:sz w:val="28"/>
          <w:szCs w:val="28"/>
        </w:rPr>
        <w:t>(</w:t>
      </w:r>
      <w:r w:rsidRPr="00F204FC">
        <w:rPr>
          <w:rFonts w:asciiTheme="majorBidi" w:eastAsia="Calibri" w:hAnsiTheme="majorBidi" w:cstheme="majorBidi"/>
          <w:b/>
          <w:bCs/>
          <w:sz w:val="28"/>
          <w:szCs w:val="28"/>
        </w:rPr>
        <w:t>Table</w:t>
      </w:r>
      <w:r w:rsidRPr="00F204FC">
        <w:rPr>
          <w:rFonts w:asciiTheme="majorBidi" w:eastAsia="Calibri" w:hAnsiTheme="majorBidi" w:cstheme="majorBidi"/>
          <w:sz w:val="28"/>
          <w:szCs w:val="28"/>
        </w:rPr>
        <w:t xml:space="preserve"> </w:t>
      </w:r>
      <w:r w:rsidRPr="00F204FC">
        <w:rPr>
          <w:rFonts w:asciiTheme="majorBidi" w:eastAsia="Calibri" w:hAnsiTheme="majorBidi" w:cstheme="majorBidi"/>
          <w:b/>
          <w:bCs/>
          <w:sz w:val="28"/>
          <w:szCs w:val="28"/>
        </w:rPr>
        <w:t>1.</w:t>
      </w:r>
      <w:r w:rsidRPr="00F204FC">
        <w:rPr>
          <w:rFonts w:asciiTheme="majorBidi" w:eastAsia="Calibri" w:hAnsiTheme="majorBidi" w:cstheme="majorBidi"/>
          <w:sz w:val="28"/>
          <w:szCs w:val="28"/>
        </w:rPr>
        <w:t>) were</w:t>
      </w:r>
      <w:r w:rsidRPr="00F204FC">
        <w:rPr>
          <w:rFonts w:asciiTheme="majorBidi" w:eastAsia="Calibri" w:hAnsiTheme="majorBidi" w:cstheme="majorBidi"/>
          <w:i/>
          <w:iCs/>
          <w:sz w:val="28"/>
          <w:szCs w:val="28"/>
        </w:rPr>
        <w:t xml:space="preserve"> </w:t>
      </w:r>
      <w:r w:rsidRPr="00F204FC">
        <w:rPr>
          <w:rFonts w:asciiTheme="majorBidi" w:eastAsia="Calibri" w:hAnsiTheme="majorBidi" w:cstheme="majorBidi"/>
          <w:sz w:val="28"/>
          <w:szCs w:val="28"/>
        </w:rPr>
        <w:t>treated with sub-inhibitory concentrations of vancomycin.</w:t>
      </w:r>
      <w:r w:rsidRPr="00F204FC">
        <w:rPr>
          <w:rFonts w:asciiTheme="majorBidi" w:hAnsiTheme="majorBidi" w:cstheme="majorBidi"/>
          <w:sz w:val="28"/>
          <w:szCs w:val="28"/>
        </w:rPr>
        <w:t xml:space="preserve"> The isolates were received in the form of stock culture from the Medical Microbiology Laboratory/UPM/</w:t>
      </w:r>
      <w:r w:rsidRPr="00F204FC">
        <w:rPr>
          <w:rFonts w:asciiTheme="majorBidi" w:eastAsia="*HCI-Tulip,Bold-Identity-H" w:hAnsiTheme="majorBidi" w:cstheme="majorBidi"/>
          <w:sz w:val="28"/>
          <w:szCs w:val="28"/>
        </w:rPr>
        <w:t>Malaysia</w:t>
      </w:r>
      <w:r w:rsidRPr="00F204FC">
        <w:rPr>
          <w:rFonts w:asciiTheme="majorBidi" w:hAnsiTheme="majorBidi" w:cstheme="majorBidi"/>
          <w:sz w:val="28"/>
          <w:szCs w:val="28"/>
        </w:rPr>
        <w:t xml:space="preserve">. </w:t>
      </w:r>
      <w:r w:rsidRPr="00F204FC">
        <w:rPr>
          <w:rFonts w:asciiTheme="majorBidi" w:eastAsia="Calibri" w:hAnsiTheme="majorBidi" w:cstheme="majorBidi"/>
          <w:sz w:val="28"/>
          <w:szCs w:val="28"/>
        </w:rPr>
        <w:t xml:space="preserve">The vancomycin </w:t>
      </w:r>
      <w:r w:rsidRPr="00F204FC">
        <w:rPr>
          <w:rFonts w:asciiTheme="majorBidi" w:hAnsiTheme="majorBidi" w:cstheme="majorBidi"/>
          <w:sz w:val="28"/>
          <w:szCs w:val="28"/>
        </w:rPr>
        <w:t xml:space="preserve">powder </w:t>
      </w:r>
      <w:r w:rsidRPr="00F204FC">
        <w:rPr>
          <w:rFonts w:asciiTheme="majorBidi" w:eastAsia="Calibri" w:hAnsiTheme="majorBidi" w:cstheme="majorBidi"/>
          <w:sz w:val="28"/>
          <w:szCs w:val="28"/>
        </w:rPr>
        <w:t>was purchased commercially</w:t>
      </w:r>
      <w:r w:rsidRPr="00F204FC">
        <w:rPr>
          <w:rFonts w:asciiTheme="majorBidi" w:hAnsiTheme="majorBidi" w:cstheme="majorBidi"/>
          <w:sz w:val="28"/>
          <w:szCs w:val="28"/>
        </w:rPr>
        <w:t xml:space="preserve"> from (BOIRON, Malaysia).</w:t>
      </w:r>
      <w:r w:rsidRPr="00F204FC">
        <w:rPr>
          <w:rFonts w:asciiTheme="majorBidi" w:eastAsia="Calibri" w:hAnsiTheme="majorBidi" w:cstheme="majorBidi"/>
          <w:sz w:val="28"/>
          <w:szCs w:val="28"/>
        </w:rPr>
        <w:t xml:space="preserve"> </w:t>
      </w:r>
      <w:r w:rsidRPr="00F204FC">
        <w:rPr>
          <w:rFonts w:asciiTheme="majorBidi" w:hAnsiTheme="majorBidi" w:cstheme="majorBidi"/>
          <w:sz w:val="28"/>
          <w:szCs w:val="28"/>
        </w:rPr>
        <w:t>To study the effect of</w:t>
      </w:r>
      <w:r w:rsidRPr="00F204FC">
        <w:rPr>
          <w:rFonts w:asciiTheme="majorBidi" w:eastAsia="Calibri" w:hAnsiTheme="majorBidi" w:cstheme="majorBidi"/>
          <w:sz w:val="28"/>
          <w:szCs w:val="28"/>
        </w:rPr>
        <w:t xml:space="preserve"> cell wall inhibitors</w:t>
      </w:r>
      <w:r w:rsidRPr="00F204FC">
        <w:rPr>
          <w:rFonts w:asciiTheme="majorBidi" w:hAnsiTheme="majorBidi" w:cstheme="majorBidi"/>
          <w:sz w:val="28"/>
          <w:szCs w:val="28"/>
        </w:rPr>
        <w:t xml:space="preserve"> on steady state levels of mRNA of two biofilm genes expression</w:t>
      </w:r>
      <w:r w:rsidRPr="00F204FC">
        <w:rPr>
          <w:rFonts w:asciiTheme="majorBidi" w:hAnsiTheme="majorBidi" w:cstheme="majorBidi"/>
          <w:i/>
          <w:iCs/>
          <w:sz w:val="28"/>
          <w:szCs w:val="28"/>
        </w:rPr>
        <w:t xml:space="preserve">. </w:t>
      </w:r>
      <w:r w:rsidRPr="00F204FC">
        <w:rPr>
          <w:rFonts w:asciiTheme="majorBidi" w:eastAsia="Calibri" w:hAnsiTheme="majorBidi" w:cstheme="majorBidi"/>
          <w:sz w:val="28"/>
          <w:szCs w:val="28"/>
        </w:rPr>
        <w:t xml:space="preserve">Cells of 3 different </w:t>
      </w:r>
      <w:r w:rsidRPr="00F204FC">
        <w:rPr>
          <w:rFonts w:asciiTheme="majorBidi" w:eastAsia="Calibri" w:hAnsiTheme="majorBidi" w:cstheme="majorBidi"/>
          <w:i/>
          <w:iCs/>
          <w:sz w:val="28"/>
          <w:szCs w:val="28"/>
        </w:rPr>
        <w:t xml:space="preserve">S. aureus </w:t>
      </w:r>
      <w:r w:rsidRPr="00F204FC">
        <w:rPr>
          <w:rFonts w:asciiTheme="majorBidi" w:eastAsia="Calibri" w:hAnsiTheme="majorBidi" w:cstheme="majorBidi"/>
          <w:sz w:val="28"/>
          <w:szCs w:val="28"/>
        </w:rPr>
        <w:t xml:space="preserve">isolates were grown with and without </w:t>
      </w:r>
      <w:r w:rsidRPr="00F204FC">
        <w:rPr>
          <w:rFonts w:asciiTheme="majorBidi" w:hAnsiTheme="majorBidi" w:cstheme="majorBidi"/>
          <w:sz w:val="28"/>
          <w:szCs w:val="28"/>
        </w:rPr>
        <w:t>vancomycin</w:t>
      </w:r>
      <w:r w:rsidRPr="00F204FC">
        <w:rPr>
          <w:rFonts w:asciiTheme="majorBidi" w:eastAsia="Calibri" w:hAnsiTheme="majorBidi" w:cstheme="majorBidi"/>
          <w:sz w:val="28"/>
          <w:szCs w:val="28"/>
        </w:rPr>
        <w:t xml:space="preserve"> for 24 h post antibiotic additions. RNA extraction was carried out using the same method that previously mentioned (Salman, 2010). </w:t>
      </w:r>
      <w:r w:rsidRPr="00F204FC">
        <w:rPr>
          <w:rFonts w:asciiTheme="majorBidi" w:hAnsiTheme="majorBidi" w:cstheme="majorBidi"/>
          <w:sz w:val="28"/>
          <w:szCs w:val="28"/>
        </w:rPr>
        <w:t>Purified RNA was immediately converted to cDNA using RevertAid</w:t>
      </w:r>
      <w:r w:rsidRPr="00F204FC">
        <w:rPr>
          <w:rFonts w:asciiTheme="majorBidi" w:hAnsiTheme="majorBidi" w:cstheme="majorBidi"/>
          <w:sz w:val="28"/>
          <w:szCs w:val="28"/>
          <w:vertAlign w:val="superscript"/>
        </w:rPr>
        <w:t>TM</w:t>
      </w:r>
      <w:r w:rsidRPr="00F204FC">
        <w:rPr>
          <w:rFonts w:asciiTheme="majorBidi" w:hAnsiTheme="majorBidi" w:cstheme="majorBidi"/>
          <w:sz w:val="28"/>
          <w:szCs w:val="28"/>
        </w:rPr>
        <w:t xml:space="preserve"> first strand cDNA synthesis kit. All primer sets for biofilm </w:t>
      </w:r>
      <w:r w:rsidRPr="00F204FC">
        <w:rPr>
          <w:rFonts w:asciiTheme="majorBidi" w:eastAsia="WarnockPro-Regular" w:hAnsiTheme="majorBidi" w:cstheme="majorBidi"/>
          <w:sz w:val="28"/>
          <w:szCs w:val="28"/>
        </w:rPr>
        <w:t>genes were</w:t>
      </w:r>
      <w:r w:rsidRPr="00F204FC">
        <w:rPr>
          <w:rFonts w:asciiTheme="majorBidi" w:hAnsiTheme="majorBidi" w:cstheme="majorBidi"/>
          <w:sz w:val="28"/>
          <w:szCs w:val="28"/>
        </w:rPr>
        <w:t xml:space="preserve"> ready to use in the laboratory. </w:t>
      </w:r>
      <w:r w:rsidRPr="00F204FC">
        <w:rPr>
          <w:rFonts w:asciiTheme="majorBidi" w:eastAsia="Calibri" w:hAnsiTheme="majorBidi" w:cstheme="majorBidi"/>
          <w:sz w:val="28"/>
          <w:szCs w:val="28"/>
        </w:rPr>
        <w:t>The relative expression of target genes</w:t>
      </w:r>
      <w:r w:rsidRPr="00F204FC">
        <w:rPr>
          <w:rFonts w:asciiTheme="majorBidi" w:hAnsiTheme="majorBidi" w:cstheme="majorBidi"/>
          <w:sz w:val="28"/>
          <w:szCs w:val="28"/>
        </w:rPr>
        <w:t xml:space="preserve"> was calculated by relative standard curve method. </w:t>
      </w:r>
      <w:r w:rsidRPr="00F204FC">
        <w:rPr>
          <w:rFonts w:asciiTheme="majorBidi" w:eastAsia="Calibri" w:hAnsiTheme="majorBidi" w:cstheme="majorBidi"/>
          <w:sz w:val="28"/>
          <w:szCs w:val="28"/>
        </w:rPr>
        <w:t xml:space="preserve">The data were then subjected to analysis the target gene expression using the Relative Expression Software Tool (REST) program. </w:t>
      </w:r>
    </w:p>
    <w:p w:rsidR="00BC5915" w:rsidRDefault="00BC5915" w:rsidP="00BC5915">
      <w:pPr>
        <w:tabs>
          <w:tab w:val="left" w:pos="360"/>
          <w:tab w:val="left" w:pos="540"/>
        </w:tabs>
        <w:autoSpaceDE w:val="0"/>
        <w:autoSpaceDN w:val="0"/>
        <w:bidi w:val="0"/>
        <w:adjustRightInd w:val="0"/>
        <w:spacing w:line="360" w:lineRule="auto"/>
        <w:ind w:left="360" w:right="-97"/>
        <w:jc w:val="both"/>
        <w:rPr>
          <w:rFonts w:asciiTheme="majorBidi" w:eastAsia="Calibri" w:hAnsiTheme="majorBidi" w:cstheme="majorBidi"/>
          <w:sz w:val="28"/>
          <w:szCs w:val="28"/>
          <w:rtl/>
          <w:lang w:bidi="ar-IQ"/>
        </w:rPr>
      </w:pPr>
    </w:p>
    <w:p w:rsidR="00BC5915" w:rsidRDefault="00BC5915" w:rsidP="00BC5915">
      <w:pPr>
        <w:tabs>
          <w:tab w:val="left" w:pos="360"/>
          <w:tab w:val="left" w:pos="540"/>
        </w:tabs>
        <w:autoSpaceDE w:val="0"/>
        <w:autoSpaceDN w:val="0"/>
        <w:bidi w:val="0"/>
        <w:adjustRightInd w:val="0"/>
        <w:spacing w:line="360" w:lineRule="auto"/>
        <w:ind w:left="360" w:right="-97"/>
        <w:jc w:val="both"/>
        <w:rPr>
          <w:rFonts w:asciiTheme="majorBidi" w:eastAsia="Calibri" w:hAnsiTheme="majorBidi" w:cstheme="majorBidi"/>
          <w:sz w:val="28"/>
          <w:szCs w:val="28"/>
          <w:lang w:bidi="ar-IQ"/>
        </w:rPr>
      </w:pPr>
    </w:p>
    <w:p w:rsidR="00BC5915" w:rsidRDefault="00BC5915" w:rsidP="00BC5915">
      <w:pPr>
        <w:tabs>
          <w:tab w:val="left" w:pos="360"/>
          <w:tab w:val="left" w:pos="540"/>
        </w:tabs>
        <w:autoSpaceDE w:val="0"/>
        <w:autoSpaceDN w:val="0"/>
        <w:bidi w:val="0"/>
        <w:adjustRightInd w:val="0"/>
        <w:spacing w:line="360" w:lineRule="auto"/>
        <w:ind w:left="360" w:right="-97"/>
        <w:jc w:val="both"/>
        <w:rPr>
          <w:rFonts w:asciiTheme="majorBidi" w:eastAsia="Calibri" w:hAnsiTheme="majorBidi" w:cstheme="majorBidi"/>
          <w:sz w:val="28"/>
          <w:szCs w:val="28"/>
          <w:lang w:bidi="ar-IQ"/>
        </w:rPr>
      </w:pPr>
    </w:p>
    <w:p w:rsidR="00BC5915" w:rsidRDefault="00BC5915" w:rsidP="00BC5915">
      <w:pPr>
        <w:tabs>
          <w:tab w:val="left" w:pos="360"/>
          <w:tab w:val="left" w:pos="540"/>
        </w:tabs>
        <w:autoSpaceDE w:val="0"/>
        <w:autoSpaceDN w:val="0"/>
        <w:bidi w:val="0"/>
        <w:adjustRightInd w:val="0"/>
        <w:spacing w:line="360" w:lineRule="auto"/>
        <w:ind w:left="360" w:right="-97"/>
        <w:jc w:val="both"/>
        <w:rPr>
          <w:rFonts w:asciiTheme="majorBidi" w:eastAsia="Calibri" w:hAnsiTheme="majorBidi" w:cstheme="majorBidi"/>
          <w:sz w:val="28"/>
          <w:szCs w:val="28"/>
          <w:lang w:bidi="ar-IQ"/>
        </w:rPr>
      </w:pPr>
    </w:p>
    <w:p w:rsidR="00BC5915" w:rsidRDefault="00BC5915" w:rsidP="00BC5915">
      <w:pPr>
        <w:tabs>
          <w:tab w:val="left" w:pos="360"/>
          <w:tab w:val="left" w:pos="540"/>
        </w:tabs>
        <w:autoSpaceDE w:val="0"/>
        <w:autoSpaceDN w:val="0"/>
        <w:bidi w:val="0"/>
        <w:adjustRightInd w:val="0"/>
        <w:spacing w:line="360" w:lineRule="auto"/>
        <w:ind w:left="360" w:right="-97"/>
        <w:jc w:val="both"/>
        <w:rPr>
          <w:rFonts w:asciiTheme="majorBidi" w:eastAsia="Calibri" w:hAnsiTheme="majorBidi" w:cstheme="majorBidi"/>
          <w:sz w:val="28"/>
          <w:szCs w:val="28"/>
          <w:lang w:bidi="ar-IQ"/>
        </w:rPr>
      </w:pPr>
    </w:p>
    <w:p w:rsidR="00BC5915" w:rsidRPr="00F204FC" w:rsidRDefault="00BC5915" w:rsidP="00BC5915">
      <w:pPr>
        <w:tabs>
          <w:tab w:val="left" w:pos="360"/>
          <w:tab w:val="left" w:pos="540"/>
        </w:tabs>
        <w:autoSpaceDE w:val="0"/>
        <w:autoSpaceDN w:val="0"/>
        <w:bidi w:val="0"/>
        <w:adjustRightInd w:val="0"/>
        <w:spacing w:line="360" w:lineRule="auto"/>
        <w:ind w:left="360" w:right="-97"/>
        <w:jc w:val="both"/>
        <w:rPr>
          <w:rFonts w:asciiTheme="majorBidi" w:eastAsia="Calibri" w:hAnsiTheme="majorBidi" w:cstheme="majorBidi"/>
          <w:sz w:val="28"/>
          <w:szCs w:val="28"/>
          <w:rtl/>
          <w:lang w:bidi="ar-IQ"/>
        </w:rPr>
      </w:pPr>
    </w:p>
    <w:p w:rsidR="00BC5915" w:rsidRPr="00F204FC" w:rsidRDefault="00BC5915" w:rsidP="00BC5915">
      <w:pPr>
        <w:tabs>
          <w:tab w:val="left" w:pos="450"/>
          <w:tab w:val="left" w:pos="810"/>
          <w:tab w:val="left" w:pos="8640"/>
          <w:tab w:val="left" w:pos="9360"/>
          <w:tab w:val="left" w:pos="9450"/>
        </w:tabs>
        <w:spacing w:line="360" w:lineRule="auto"/>
        <w:ind w:left="90" w:right="-450"/>
        <w:jc w:val="center"/>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Table 1: Characteristics of clinical isolates used in this study.</w:t>
      </w:r>
    </w:p>
    <w:tbl>
      <w:tblPr>
        <w:tblpPr w:leftFromText="180" w:rightFromText="180" w:vertAnchor="text" w:horzAnchor="margin" w:tblpXSpec="center" w:tblpY="152"/>
        <w:tblW w:w="8478" w:type="dxa"/>
        <w:tblBorders>
          <w:top w:val="single" w:sz="12" w:space="0" w:color="auto"/>
          <w:bottom w:val="single" w:sz="12" w:space="0" w:color="auto"/>
        </w:tblBorders>
        <w:tblLayout w:type="fixed"/>
        <w:tblLook w:val="04A0" w:firstRow="1" w:lastRow="0" w:firstColumn="1" w:lastColumn="0" w:noHBand="0" w:noVBand="1"/>
      </w:tblPr>
      <w:tblGrid>
        <w:gridCol w:w="1818"/>
        <w:gridCol w:w="1710"/>
        <w:gridCol w:w="900"/>
        <w:gridCol w:w="1080"/>
        <w:gridCol w:w="1170"/>
        <w:gridCol w:w="1800"/>
      </w:tblGrid>
      <w:tr w:rsidR="00BC5915" w:rsidRPr="00F204FC" w:rsidTr="00E14CC9">
        <w:trPr>
          <w:trHeight w:val="418"/>
        </w:trPr>
        <w:tc>
          <w:tcPr>
            <w:tcW w:w="1818" w:type="dxa"/>
            <w:vMerge w:val="restart"/>
            <w:tcBorders>
              <w:top w:val="single" w:sz="12" w:space="0" w:color="auto"/>
              <w:left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jc w:val="both"/>
              <w:rPr>
                <w:rFonts w:asciiTheme="majorBidi" w:eastAsia="Calibri" w:hAnsiTheme="majorBidi" w:cstheme="majorBidi"/>
                <w:b/>
                <w:bCs/>
                <w:sz w:val="28"/>
                <w:szCs w:val="28"/>
              </w:rPr>
            </w:pPr>
          </w:p>
          <w:p w:rsidR="00BC5915" w:rsidRPr="00F204FC" w:rsidRDefault="00BC5915" w:rsidP="00E14CC9">
            <w:pPr>
              <w:autoSpaceDE w:val="0"/>
              <w:autoSpaceDN w:val="0"/>
              <w:adjustRightInd w:val="0"/>
              <w:spacing w:line="360" w:lineRule="auto"/>
              <w:ind w:left="90" w:right="-270"/>
              <w:jc w:val="both"/>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Strain/No.</w:t>
            </w:r>
          </w:p>
        </w:tc>
        <w:tc>
          <w:tcPr>
            <w:tcW w:w="1710" w:type="dxa"/>
            <w:vMerge w:val="restart"/>
            <w:tcBorders>
              <w:top w:val="single" w:sz="12" w:space="0" w:color="auto"/>
              <w:left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jc w:val="both"/>
              <w:rPr>
                <w:rFonts w:asciiTheme="majorBidi" w:hAnsiTheme="majorBidi" w:cstheme="majorBidi"/>
                <w:sz w:val="28"/>
                <w:szCs w:val="28"/>
              </w:rPr>
            </w:pPr>
          </w:p>
          <w:p w:rsidR="00BC5915" w:rsidRPr="00F204FC" w:rsidRDefault="00BC5915" w:rsidP="00E14CC9">
            <w:pPr>
              <w:autoSpaceDE w:val="0"/>
              <w:autoSpaceDN w:val="0"/>
              <w:adjustRightInd w:val="0"/>
              <w:spacing w:line="360" w:lineRule="auto"/>
              <w:ind w:left="90" w:right="-270"/>
              <w:jc w:val="both"/>
              <w:rPr>
                <w:rFonts w:asciiTheme="majorBidi" w:hAnsiTheme="majorBidi" w:cstheme="majorBidi"/>
                <w:b/>
                <w:bCs/>
                <w:sz w:val="28"/>
                <w:szCs w:val="28"/>
              </w:rPr>
            </w:pPr>
            <w:r w:rsidRPr="00F204FC">
              <w:rPr>
                <w:rFonts w:asciiTheme="majorBidi" w:eastAsia="Calibri" w:hAnsiTheme="majorBidi" w:cstheme="majorBidi"/>
                <w:b/>
                <w:bCs/>
                <w:sz w:val="28"/>
                <w:szCs w:val="28"/>
              </w:rPr>
              <w:t>Isolation site</w:t>
            </w:r>
          </w:p>
        </w:tc>
        <w:tc>
          <w:tcPr>
            <w:tcW w:w="900" w:type="dxa"/>
            <w:vMerge w:val="restart"/>
            <w:tcBorders>
              <w:top w:val="single" w:sz="12" w:space="0" w:color="auto"/>
              <w:left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jc w:val="both"/>
              <w:rPr>
                <w:rFonts w:asciiTheme="majorBidi" w:hAnsiTheme="majorBidi" w:cstheme="majorBidi"/>
                <w:i/>
                <w:iCs/>
                <w:sz w:val="28"/>
                <w:szCs w:val="28"/>
              </w:rPr>
            </w:pPr>
          </w:p>
          <w:p w:rsidR="00BC5915" w:rsidRPr="00F204FC" w:rsidRDefault="00BC5915" w:rsidP="00E14CC9">
            <w:pPr>
              <w:autoSpaceDE w:val="0"/>
              <w:autoSpaceDN w:val="0"/>
              <w:adjustRightInd w:val="0"/>
              <w:spacing w:line="360" w:lineRule="auto"/>
              <w:ind w:left="90" w:right="-270"/>
              <w:jc w:val="both"/>
              <w:rPr>
                <w:rFonts w:asciiTheme="majorBidi" w:hAnsiTheme="majorBidi" w:cstheme="majorBidi"/>
                <w:b/>
                <w:bCs/>
                <w:sz w:val="28"/>
                <w:szCs w:val="28"/>
              </w:rPr>
            </w:pPr>
            <w:r w:rsidRPr="00F204FC">
              <w:rPr>
                <w:rFonts w:asciiTheme="majorBidi" w:hAnsiTheme="majorBidi" w:cstheme="majorBidi"/>
                <w:b/>
                <w:bCs/>
                <w:i/>
                <w:iCs/>
                <w:sz w:val="28"/>
                <w:szCs w:val="28"/>
              </w:rPr>
              <w:t>spa</w:t>
            </w:r>
            <w:r w:rsidRPr="00F204FC">
              <w:rPr>
                <w:rFonts w:asciiTheme="majorBidi" w:hAnsiTheme="majorBidi" w:cstheme="majorBidi"/>
                <w:b/>
                <w:bCs/>
                <w:sz w:val="28"/>
                <w:szCs w:val="28"/>
              </w:rPr>
              <w:t xml:space="preserve">      types</w:t>
            </w:r>
          </w:p>
        </w:tc>
        <w:tc>
          <w:tcPr>
            <w:tcW w:w="2250" w:type="dxa"/>
            <w:gridSpan w:val="2"/>
            <w:tcBorders>
              <w:top w:val="single" w:sz="12" w:space="0" w:color="auto"/>
              <w:left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jc w:val="both"/>
              <w:rPr>
                <w:rFonts w:asciiTheme="majorBidi" w:hAnsiTheme="majorBidi" w:cstheme="majorBidi"/>
                <w:b/>
                <w:bCs/>
                <w:sz w:val="28"/>
                <w:szCs w:val="28"/>
              </w:rPr>
            </w:pPr>
          </w:p>
          <w:p w:rsidR="00BC5915" w:rsidRPr="00F204FC" w:rsidRDefault="00BC5915" w:rsidP="00E14CC9">
            <w:pPr>
              <w:autoSpaceDE w:val="0"/>
              <w:autoSpaceDN w:val="0"/>
              <w:adjustRightInd w:val="0"/>
              <w:spacing w:line="360" w:lineRule="auto"/>
              <w:ind w:left="90" w:right="-270"/>
              <w:jc w:val="both"/>
              <w:rPr>
                <w:rFonts w:asciiTheme="majorBidi" w:hAnsiTheme="majorBidi" w:cstheme="majorBidi"/>
                <w:b/>
                <w:bCs/>
                <w:sz w:val="28"/>
                <w:szCs w:val="28"/>
                <w:u w:val="single"/>
              </w:rPr>
            </w:pP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u w:val="single"/>
              </w:rPr>
              <w:t>MLST</w:t>
            </w:r>
          </w:p>
        </w:tc>
        <w:tc>
          <w:tcPr>
            <w:tcW w:w="1800" w:type="dxa"/>
            <w:vMerge w:val="restart"/>
            <w:tcBorders>
              <w:top w:val="single" w:sz="12" w:space="0" w:color="auto"/>
              <w:left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firstLine="648"/>
              <w:jc w:val="center"/>
              <w:rPr>
                <w:rFonts w:asciiTheme="majorBidi" w:hAnsiTheme="majorBidi" w:cstheme="majorBidi"/>
                <w:b/>
                <w:bCs/>
                <w:sz w:val="28"/>
                <w:szCs w:val="28"/>
              </w:rPr>
            </w:pPr>
          </w:p>
          <w:p w:rsidR="00BC5915" w:rsidRPr="00F204FC" w:rsidRDefault="00BC5915" w:rsidP="00E14CC9">
            <w:pPr>
              <w:autoSpaceDE w:val="0"/>
              <w:autoSpaceDN w:val="0"/>
              <w:adjustRightInd w:val="0"/>
              <w:spacing w:line="360" w:lineRule="auto"/>
              <w:ind w:left="18" w:hanging="18"/>
              <w:jc w:val="center"/>
              <w:rPr>
                <w:rFonts w:asciiTheme="majorBidi" w:hAnsiTheme="majorBidi" w:cstheme="majorBidi"/>
                <w:b/>
                <w:bCs/>
                <w:sz w:val="28"/>
                <w:szCs w:val="28"/>
              </w:rPr>
            </w:pPr>
            <w:r w:rsidRPr="00F204FC">
              <w:rPr>
                <w:rFonts w:asciiTheme="majorBidi" w:hAnsiTheme="majorBidi" w:cstheme="majorBidi"/>
                <w:b/>
                <w:bCs/>
                <w:sz w:val="28"/>
                <w:szCs w:val="28"/>
              </w:rPr>
              <w:t>SCCmec</w:t>
            </w:r>
          </w:p>
        </w:tc>
      </w:tr>
      <w:tr w:rsidR="00BC5915" w:rsidRPr="00F204FC" w:rsidTr="00E14CC9">
        <w:trPr>
          <w:trHeight w:val="152"/>
        </w:trPr>
        <w:tc>
          <w:tcPr>
            <w:tcW w:w="1818" w:type="dxa"/>
            <w:vMerge/>
            <w:tcBorders>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hanging="1"/>
              <w:jc w:val="both"/>
              <w:rPr>
                <w:rFonts w:asciiTheme="majorBidi" w:hAnsiTheme="majorBidi" w:cstheme="majorBidi"/>
                <w:sz w:val="28"/>
                <w:szCs w:val="28"/>
              </w:rPr>
            </w:pPr>
          </w:p>
        </w:tc>
        <w:tc>
          <w:tcPr>
            <w:tcW w:w="1710" w:type="dxa"/>
            <w:vMerge/>
            <w:tcBorders>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jc w:val="both"/>
              <w:rPr>
                <w:rFonts w:asciiTheme="majorBidi" w:hAnsiTheme="majorBidi" w:cstheme="majorBidi"/>
                <w:sz w:val="28"/>
                <w:szCs w:val="28"/>
              </w:rPr>
            </w:pPr>
          </w:p>
        </w:tc>
        <w:tc>
          <w:tcPr>
            <w:tcW w:w="900" w:type="dxa"/>
            <w:vMerge/>
            <w:tcBorders>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hanging="1"/>
              <w:jc w:val="both"/>
              <w:rPr>
                <w:rFonts w:asciiTheme="majorBidi" w:hAnsiTheme="majorBidi" w:cstheme="majorBidi"/>
                <w:sz w:val="28"/>
                <w:szCs w:val="28"/>
              </w:rPr>
            </w:pPr>
          </w:p>
        </w:tc>
        <w:tc>
          <w:tcPr>
            <w:tcW w:w="1080" w:type="dxa"/>
            <w:tcBorders>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jc w:val="both"/>
              <w:rPr>
                <w:rFonts w:asciiTheme="majorBidi" w:hAnsiTheme="majorBidi" w:cstheme="majorBidi"/>
                <w:b/>
                <w:bCs/>
                <w:sz w:val="28"/>
                <w:szCs w:val="28"/>
              </w:rPr>
            </w:pPr>
            <w:r w:rsidRPr="00F204FC">
              <w:rPr>
                <w:rFonts w:asciiTheme="majorBidi" w:hAnsiTheme="majorBidi" w:cstheme="majorBidi"/>
                <w:b/>
                <w:bCs/>
                <w:sz w:val="28"/>
                <w:szCs w:val="28"/>
              </w:rPr>
              <w:t xml:space="preserve">    ST</w:t>
            </w:r>
          </w:p>
        </w:tc>
        <w:tc>
          <w:tcPr>
            <w:tcW w:w="1170" w:type="dxa"/>
            <w:tcBorders>
              <w:left w:val="single" w:sz="12" w:space="0" w:color="auto"/>
              <w:bottom w:val="single" w:sz="12" w:space="0" w:color="auto"/>
              <w:right w:val="single" w:sz="12" w:space="0" w:color="auto"/>
            </w:tcBorders>
          </w:tcPr>
          <w:p w:rsidR="00BC5915" w:rsidRPr="00F204FC" w:rsidRDefault="00BC5915" w:rsidP="00E14CC9">
            <w:pPr>
              <w:tabs>
                <w:tab w:val="left" w:pos="-250"/>
              </w:tabs>
              <w:autoSpaceDE w:val="0"/>
              <w:autoSpaceDN w:val="0"/>
              <w:adjustRightInd w:val="0"/>
              <w:spacing w:line="360" w:lineRule="auto"/>
              <w:ind w:left="90" w:right="-270"/>
              <w:jc w:val="both"/>
              <w:rPr>
                <w:rFonts w:asciiTheme="majorBidi" w:hAnsiTheme="majorBidi" w:cstheme="majorBidi"/>
                <w:b/>
                <w:bCs/>
                <w:sz w:val="28"/>
                <w:szCs w:val="28"/>
              </w:rPr>
            </w:pPr>
            <w:r w:rsidRPr="00F204FC">
              <w:rPr>
                <w:rFonts w:asciiTheme="majorBidi" w:hAnsiTheme="majorBidi" w:cstheme="majorBidi"/>
                <w:b/>
                <w:bCs/>
                <w:sz w:val="28"/>
                <w:szCs w:val="28"/>
              </w:rPr>
              <w:t xml:space="preserve">    CC</w:t>
            </w:r>
          </w:p>
        </w:tc>
        <w:tc>
          <w:tcPr>
            <w:tcW w:w="1800" w:type="dxa"/>
            <w:vMerge/>
            <w:tcBorders>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270" w:firstLine="648"/>
              <w:jc w:val="center"/>
              <w:rPr>
                <w:rFonts w:asciiTheme="majorBidi" w:hAnsiTheme="majorBidi" w:cstheme="majorBidi"/>
                <w:sz w:val="28"/>
                <w:szCs w:val="28"/>
              </w:rPr>
            </w:pPr>
          </w:p>
        </w:tc>
      </w:tr>
      <w:tr w:rsidR="00BC5915" w:rsidRPr="00F204FC" w:rsidTr="00E14CC9">
        <w:trPr>
          <w:trHeight w:val="289"/>
        </w:trPr>
        <w:tc>
          <w:tcPr>
            <w:tcW w:w="1818"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pStyle w:val="a4"/>
              <w:spacing w:line="360" w:lineRule="auto"/>
              <w:ind w:left="90" w:right="-270"/>
              <w:jc w:val="both"/>
              <w:rPr>
                <w:rFonts w:asciiTheme="majorBidi" w:eastAsia="Calibri" w:hAnsiTheme="majorBidi" w:cstheme="majorBidi"/>
                <w:sz w:val="28"/>
                <w:szCs w:val="28"/>
              </w:rPr>
            </w:pPr>
            <w:r w:rsidRPr="00F204FC">
              <w:rPr>
                <w:rFonts w:asciiTheme="majorBidi" w:eastAsia="Calibri" w:hAnsiTheme="majorBidi" w:cstheme="majorBidi"/>
                <w:sz w:val="28"/>
                <w:szCs w:val="28"/>
              </w:rPr>
              <w:t>1 (</w:t>
            </w:r>
            <w:r w:rsidRPr="00F204FC">
              <w:rPr>
                <w:rFonts w:asciiTheme="majorBidi" w:eastAsia="Calibri" w:hAnsiTheme="majorBidi" w:cstheme="majorBidi"/>
                <w:b/>
                <w:bCs/>
                <w:sz w:val="28"/>
                <w:szCs w:val="28"/>
              </w:rPr>
              <w:t>MRSA</w:t>
            </w:r>
            <w:r w:rsidRPr="00F204FC">
              <w:rPr>
                <w:rFonts w:asciiTheme="majorBidi" w:eastAsia="Calibri" w:hAnsiTheme="majorBidi" w:cstheme="majorBidi"/>
                <w:sz w:val="28"/>
                <w:szCs w:val="28"/>
              </w:rPr>
              <w:t>)/</w:t>
            </w:r>
            <w:r w:rsidRPr="00F204FC">
              <w:rPr>
                <w:rFonts w:asciiTheme="majorBidi" w:hAnsiTheme="majorBidi" w:cstheme="majorBidi"/>
                <w:sz w:val="28"/>
                <w:szCs w:val="28"/>
              </w:rPr>
              <w:t>88</w:t>
            </w:r>
          </w:p>
        </w:tc>
        <w:tc>
          <w:tcPr>
            <w:tcW w:w="171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spacing w:line="360" w:lineRule="auto"/>
              <w:ind w:left="90" w:right="-270"/>
              <w:jc w:val="both"/>
              <w:rPr>
                <w:rFonts w:asciiTheme="majorBidi" w:hAnsiTheme="majorBidi" w:cstheme="majorBidi"/>
                <w:sz w:val="28"/>
                <w:szCs w:val="28"/>
              </w:rPr>
            </w:pPr>
            <w:r w:rsidRPr="00F204FC">
              <w:rPr>
                <w:rFonts w:asciiTheme="majorBidi" w:hAnsiTheme="majorBidi" w:cstheme="majorBidi"/>
                <w:sz w:val="28"/>
                <w:szCs w:val="28"/>
              </w:rPr>
              <w:t>Blood</w:t>
            </w:r>
          </w:p>
        </w:tc>
        <w:tc>
          <w:tcPr>
            <w:tcW w:w="900" w:type="dxa"/>
            <w:tcBorders>
              <w:top w:val="single" w:sz="12" w:space="0" w:color="auto"/>
              <w:left w:val="single" w:sz="12" w:space="0" w:color="auto"/>
              <w:bottom w:val="single" w:sz="12" w:space="0" w:color="auto"/>
              <w:right w:val="single" w:sz="12" w:space="0" w:color="auto"/>
            </w:tcBorders>
            <w:vAlign w:val="bottom"/>
          </w:tcPr>
          <w:p w:rsidR="00BC5915" w:rsidRPr="00F204FC" w:rsidRDefault="00BC5915" w:rsidP="00E14CC9">
            <w:pPr>
              <w:spacing w:line="360" w:lineRule="auto"/>
              <w:ind w:left="90" w:right="-270"/>
              <w:jc w:val="both"/>
              <w:rPr>
                <w:rFonts w:asciiTheme="majorBidi" w:hAnsiTheme="majorBidi" w:cstheme="majorBidi"/>
                <w:sz w:val="28"/>
                <w:szCs w:val="28"/>
              </w:rPr>
            </w:pPr>
            <w:r w:rsidRPr="00F204FC">
              <w:rPr>
                <w:rFonts w:asciiTheme="majorBidi" w:hAnsiTheme="majorBidi" w:cstheme="majorBidi"/>
                <w:sz w:val="28"/>
                <w:szCs w:val="28"/>
              </w:rPr>
              <w:t>t413</w:t>
            </w:r>
          </w:p>
        </w:tc>
        <w:tc>
          <w:tcPr>
            <w:tcW w:w="1080" w:type="dxa"/>
            <w:tcBorders>
              <w:top w:val="single" w:sz="12" w:space="0" w:color="auto"/>
              <w:left w:val="single" w:sz="12" w:space="0" w:color="auto"/>
              <w:bottom w:val="single" w:sz="12" w:space="0" w:color="auto"/>
              <w:right w:val="single" w:sz="12" w:space="0" w:color="auto"/>
            </w:tcBorders>
            <w:vAlign w:val="bottom"/>
          </w:tcPr>
          <w:p w:rsidR="00BC5915" w:rsidRPr="00F204FC" w:rsidRDefault="00BC5915" w:rsidP="00E14CC9">
            <w:pPr>
              <w:spacing w:line="360" w:lineRule="auto"/>
              <w:ind w:left="90" w:right="-270"/>
              <w:jc w:val="both"/>
              <w:rPr>
                <w:rFonts w:asciiTheme="majorBidi" w:hAnsiTheme="majorBidi" w:cstheme="majorBidi"/>
                <w:sz w:val="28"/>
                <w:szCs w:val="28"/>
              </w:rPr>
            </w:pPr>
            <w:r w:rsidRPr="00F204FC">
              <w:rPr>
                <w:rFonts w:asciiTheme="majorBidi" w:hAnsiTheme="majorBidi" w:cstheme="majorBidi"/>
                <w:sz w:val="28"/>
                <w:szCs w:val="28"/>
              </w:rPr>
              <w:t>ST239</w:t>
            </w:r>
          </w:p>
        </w:tc>
        <w:tc>
          <w:tcPr>
            <w:tcW w:w="117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108" w:right="72" w:firstLine="207"/>
              <w:jc w:val="both"/>
              <w:rPr>
                <w:rFonts w:asciiTheme="majorBidi" w:hAnsiTheme="majorBidi" w:cstheme="majorBidi"/>
                <w:sz w:val="28"/>
                <w:szCs w:val="28"/>
              </w:rPr>
            </w:pPr>
            <w:r w:rsidRPr="00F204FC">
              <w:rPr>
                <w:rFonts w:asciiTheme="majorBidi" w:hAnsiTheme="majorBidi" w:cstheme="majorBidi"/>
                <w:sz w:val="28"/>
                <w:szCs w:val="28"/>
              </w:rPr>
              <w:t>CC8</w:t>
            </w:r>
          </w:p>
        </w:tc>
        <w:tc>
          <w:tcPr>
            <w:tcW w:w="180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spacing w:line="360" w:lineRule="auto"/>
              <w:ind w:left="90" w:right="-270" w:firstLine="648"/>
              <w:rPr>
                <w:rFonts w:asciiTheme="majorBidi" w:hAnsiTheme="majorBidi" w:cstheme="majorBidi"/>
                <w:sz w:val="28"/>
                <w:szCs w:val="28"/>
              </w:rPr>
            </w:pPr>
            <w:r w:rsidRPr="00F204FC">
              <w:rPr>
                <w:rFonts w:asciiTheme="majorBidi" w:hAnsiTheme="majorBidi" w:cstheme="majorBidi"/>
                <w:sz w:val="28"/>
                <w:szCs w:val="28"/>
              </w:rPr>
              <w:t>IIIA</w:t>
            </w:r>
          </w:p>
        </w:tc>
      </w:tr>
      <w:tr w:rsidR="00BC5915" w:rsidRPr="00F204FC" w:rsidTr="00E14CC9">
        <w:trPr>
          <w:trHeight w:val="297"/>
        </w:trPr>
        <w:tc>
          <w:tcPr>
            <w:tcW w:w="1818"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pStyle w:val="a4"/>
              <w:spacing w:line="360" w:lineRule="auto"/>
              <w:ind w:left="90" w:right="-270"/>
              <w:jc w:val="both"/>
              <w:rPr>
                <w:rFonts w:asciiTheme="majorBidi" w:eastAsia="Calibri" w:hAnsiTheme="majorBidi" w:cstheme="majorBidi"/>
                <w:sz w:val="28"/>
                <w:szCs w:val="28"/>
              </w:rPr>
            </w:pPr>
            <w:r w:rsidRPr="00F204FC">
              <w:rPr>
                <w:rFonts w:asciiTheme="majorBidi" w:eastAsia="Calibri" w:hAnsiTheme="majorBidi" w:cstheme="majorBidi"/>
                <w:sz w:val="28"/>
                <w:szCs w:val="28"/>
              </w:rPr>
              <w:t>2 (</w:t>
            </w:r>
            <w:r w:rsidRPr="00F204FC">
              <w:rPr>
                <w:rFonts w:asciiTheme="majorBidi" w:eastAsia="Calibri" w:hAnsiTheme="majorBidi" w:cstheme="majorBidi"/>
                <w:b/>
                <w:bCs/>
                <w:sz w:val="28"/>
                <w:szCs w:val="28"/>
              </w:rPr>
              <w:t>MRSA</w:t>
            </w:r>
            <w:r w:rsidRPr="00F204FC">
              <w:rPr>
                <w:rFonts w:asciiTheme="majorBidi" w:eastAsia="Calibri" w:hAnsiTheme="majorBidi" w:cstheme="majorBidi"/>
                <w:sz w:val="28"/>
                <w:szCs w:val="28"/>
              </w:rPr>
              <w:t>)/</w:t>
            </w:r>
            <w:r w:rsidRPr="00F204FC">
              <w:rPr>
                <w:rFonts w:asciiTheme="majorBidi" w:hAnsiTheme="majorBidi" w:cstheme="majorBidi"/>
                <w:sz w:val="28"/>
                <w:szCs w:val="28"/>
              </w:rPr>
              <w:t>340</w:t>
            </w:r>
          </w:p>
        </w:tc>
        <w:tc>
          <w:tcPr>
            <w:tcW w:w="171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spacing w:line="360" w:lineRule="auto"/>
              <w:ind w:left="90" w:right="-270"/>
              <w:jc w:val="both"/>
              <w:rPr>
                <w:rFonts w:asciiTheme="majorBidi" w:hAnsiTheme="majorBidi" w:cstheme="majorBidi"/>
                <w:sz w:val="28"/>
                <w:szCs w:val="28"/>
              </w:rPr>
            </w:pPr>
            <w:r w:rsidRPr="00F204FC">
              <w:rPr>
                <w:rFonts w:asciiTheme="majorBidi" w:hAnsiTheme="majorBidi" w:cstheme="majorBidi"/>
                <w:sz w:val="28"/>
                <w:szCs w:val="28"/>
              </w:rPr>
              <w:t>Pus swab</w:t>
            </w:r>
          </w:p>
        </w:tc>
        <w:tc>
          <w:tcPr>
            <w:tcW w:w="900" w:type="dxa"/>
            <w:tcBorders>
              <w:top w:val="single" w:sz="12" w:space="0" w:color="auto"/>
              <w:left w:val="single" w:sz="12" w:space="0" w:color="auto"/>
              <w:bottom w:val="single" w:sz="12" w:space="0" w:color="auto"/>
              <w:right w:val="single" w:sz="12" w:space="0" w:color="auto"/>
            </w:tcBorders>
            <w:vAlign w:val="bottom"/>
          </w:tcPr>
          <w:p w:rsidR="00BC5915" w:rsidRPr="00F204FC" w:rsidRDefault="00BC5915" w:rsidP="00E14CC9">
            <w:pPr>
              <w:spacing w:line="360" w:lineRule="auto"/>
              <w:ind w:left="90" w:right="-270" w:hanging="1"/>
              <w:jc w:val="both"/>
              <w:rPr>
                <w:rFonts w:asciiTheme="majorBidi" w:hAnsiTheme="majorBidi" w:cstheme="majorBidi"/>
                <w:sz w:val="28"/>
                <w:szCs w:val="28"/>
              </w:rPr>
            </w:pPr>
            <w:r w:rsidRPr="00F204FC">
              <w:rPr>
                <w:rFonts w:asciiTheme="majorBidi" w:hAnsiTheme="majorBidi" w:cstheme="majorBidi"/>
                <w:sz w:val="28"/>
                <w:szCs w:val="28"/>
              </w:rPr>
              <w:t>t217</w:t>
            </w:r>
          </w:p>
        </w:tc>
        <w:tc>
          <w:tcPr>
            <w:tcW w:w="1080" w:type="dxa"/>
            <w:tcBorders>
              <w:top w:val="single" w:sz="12" w:space="0" w:color="auto"/>
              <w:left w:val="single" w:sz="12" w:space="0" w:color="auto"/>
              <w:bottom w:val="single" w:sz="12" w:space="0" w:color="auto"/>
              <w:right w:val="single" w:sz="12" w:space="0" w:color="auto"/>
            </w:tcBorders>
            <w:vAlign w:val="bottom"/>
          </w:tcPr>
          <w:p w:rsidR="00BC5915" w:rsidRPr="00F204FC" w:rsidRDefault="00BC5915" w:rsidP="00E14CC9">
            <w:pPr>
              <w:spacing w:line="360" w:lineRule="auto"/>
              <w:ind w:left="90" w:right="-270"/>
              <w:jc w:val="both"/>
              <w:rPr>
                <w:rFonts w:asciiTheme="majorBidi" w:hAnsiTheme="majorBidi" w:cstheme="majorBidi"/>
                <w:sz w:val="28"/>
                <w:szCs w:val="28"/>
              </w:rPr>
            </w:pPr>
            <w:r w:rsidRPr="00F204FC">
              <w:rPr>
                <w:rFonts w:asciiTheme="majorBidi" w:hAnsiTheme="majorBidi" w:cstheme="majorBidi"/>
                <w:sz w:val="28"/>
                <w:szCs w:val="28"/>
              </w:rPr>
              <w:t>ST22</w:t>
            </w:r>
          </w:p>
        </w:tc>
        <w:tc>
          <w:tcPr>
            <w:tcW w:w="117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108" w:right="72" w:firstLine="207"/>
              <w:jc w:val="both"/>
              <w:rPr>
                <w:rFonts w:asciiTheme="majorBidi" w:hAnsiTheme="majorBidi" w:cstheme="majorBidi"/>
                <w:sz w:val="28"/>
                <w:szCs w:val="28"/>
              </w:rPr>
            </w:pPr>
            <w:r w:rsidRPr="00F204FC">
              <w:rPr>
                <w:rFonts w:asciiTheme="majorBidi" w:hAnsiTheme="majorBidi" w:cstheme="majorBidi"/>
                <w:sz w:val="28"/>
                <w:szCs w:val="28"/>
              </w:rPr>
              <w:t>CC22</w:t>
            </w:r>
          </w:p>
        </w:tc>
        <w:tc>
          <w:tcPr>
            <w:tcW w:w="180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spacing w:line="360" w:lineRule="auto"/>
              <w:ind w:left="90" w:right="-270" w:firstLine="648"/>
              <w:rPr>
                <w:rFonts w:asciiTheme="majorBidi" w:hAnsiTheme="majorBidi" w:cstheme="majorBidi"/>
                <w:sz w:val="28"/>
                <w:szCs w:val="28"/>
              </w:rPr>
            </w:pPr>
            <w:r w:rsidRPr="00F204FC">
              <w:rPr>
                <w:rFonts w:asciiTheme="majorBidi" w:hAnsiTheme="majorBidi" w:cstheme="majorBidi"/>
                <w:sz w:val="28"/>
                <w:szCs w:val="28"/>
              </w:rPr>
              <w:t>IVh</w:t>
            </w:r>
          </w:p>
        </w:tc>
      </w:tr>
      <w:tr w:rsidR="00BC5915" w:rsidRPr="00F204FC" w:rsidTr="00E14CC9">
        <w:trPr>
          <w:trHeight w:val="217"/>
        </w:trPr>
        <w:tc>
          <w:tcPr>
            <w:tcW w:w="1818"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pStyle w:val="a4"/>
              <w:spacing w:line="360" w:lineRule="auto"/>
              <w:ind w:left="90" w:right="-270"/>
              <w:jc w:val="both"/>
              <w:rPr>
                <w:rFonts w:asciiTheme="majorBidi" w:eastAsia="Calibri" w:hAnsiTheme="majorBidi" w:cstheme="majorBidi"/>
                <w:sz w:val="28"/>
                <w:szCs w:val="28"/>
              </w:rPr>
            </w:pPr>
            <w:r w:rsidRPr="00F204FC">
              <w:rPr>
                <w:rFonts w:asciiTheme="majorBidi" w:eastAsia="Calibri" w:hAnsiTheme="majorBidi" w:cstheme="majorBidi"/>
                <w:sz w:val="28"/>
                <w:szCs w:val="28"/>
              </w:rPr>
              <w:t>3 (</w:t>
            </w:r>
            <w:r w:rsidRPr="00F204FC">
              <w:rPr>
                <w:rFonts w:asciiTheme="majorBidi" w:eastAsia="Calibri" w:hAnsiTheme="majorBidi" w:cstheme="majorBidi"/>
                <w:b/>
                <w:bCs/>
                <w:sz w:val="28"/>
                <w:szCs w:val="28"/>
              </w:rPr>
              <w:t>MRSA</w:t>
            </w:r>
            <w:r w:rsidRPr="00F204FC">
              <w:rPr>
                <w:rFonts w:asciiTheme="majorBidi" w:eastAsia="Calibri" w:hAnsiTheme="majorBidi" w:cstheme="majorBidi"/>
                <w:sz w:val="28"/>
                <w:szCs w:val="28"/>
              </w:rPr>
              <w:t>)/</w:t>
            </w:r>
            <w:r w:rsidRPr="00F204FC">
              <w:rPr>
                <w:rFonts w:asciiTheme="majorBidi" w:hAnsiTheme="majorBidi" w:cstheme="majorBidi"/>
                <w:sz w:val="28"/>
                <w:szCs w:val="28"/>
              </w:rPr>
              <w:t>20</w:t>
            </w:r>
          </w:p>
        </w:tc>
        <w:tc>
          <w:tcPr>
            <w:tcW w:w="171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spacing w:line="360" w:lineRule="auto"/>
              <w:ind w:left="90" w:right="-270"/>
              <w:jc w:val="both"/>
              <w:rPr>
                <w:rFonts w:asciiTheme="majorBidi" w:hAnsiTheme="majorBidi" w:cstheme="majorBidi"/>
                <w:sz w:val="28"/>
                <w:szCs w:val="28"/>
              </w:rPr>
            </w:pPr>
            <w:r w:rsidRPr="00F204FC">
              <w:rPr>
                <w:rFonts w:asciiTheme="majorBidi" w:hAnsiTheme="majorBidi" w:cstheme="majorBidi"/>
                <w:sz w:val="28"/>
                <w:szCs w:val="28"/>
              </w:rPr>
              <w:t>Abscess swab</w:t>
            </w:r>
          </w:p>
        </w:tc>
        <w:tc>
          <w:tcPr>
            <w:tcW w:w="900" w:type="dxa"/>
            <w:tcBorders>
              <w:top w:val="single" w:sz="12" w:space="0" w:color="auto"/>
              <w:left w:val="single" w:sz="12" w:space="0" w:color="auto"/>
              <w:bottom w:val="single" w:sz="12" w:space="0" w:color="auto"/>
              <w:right w:val="single" w:sz="12" w:space="0" w:color="auto"/>
            </w:tcBorders>
            <w:vAlign w:val="bottom"/>
          </w:tcPr>
          <w:p w:rsidR="00BC5915" w:rsidRPr="00F204FC" w:rsidRDefault="00BC5915" w:rsidP="00E14CC9">
            <w:pPr>
              <w:spacing w:line="360" w:lineRule="auto"/>
              <w:ind w:left="90" w:right="-270" w:hanging="1"/>
              <w:jc w:val="both"/>
              <w:rPr>
                <w:rFonts w:asciiTheme="majorBidi" w:hAnsiTheme="majorBidi" w:cstheme="majorBidi"/>
                <w:sz w:val="28"/>
                <w:szCs w:val="28"/>
              </w:rPr>
            </w:pPr>
            <w:r w:rsidRPr="00F204FC">
              <w:rPr>
                <w:rFonts w:asciiTheme="majorBidi" w:hAnsiTheme="majorBidi" w:cstheme="majorBidi"/>
                <w:sz w:val="28"/>
                <w:szCs w:val="28"/>
              </w:rPr>
              <w:t>t185</w:t>
            </w:r>
          </w:p>
        </w:tc>
        <w:tc>
          <w:tcPr>
            <w:tcW w:w="1080" w:type="dxa"/>
            <w:tcBorders>
              <w:top w:val="single" w:sz="12" w:space="0" w:color="auto"/>
              <w:left w:val="single" w:sz="12" w:space="0" w:color="auto"/>
              <w:bottom w:val="single" w:sz="12" w:space="0" w:color="auto"/>
              <w:right w:val="single" w:sz="12" w:space="0" w:color="auto"/>
            </w:tcBorders>
            <w:vAlign w:val="bottom"/>
          </w:tcPr>
          <w:p w:rsidR="00BC5915" w:rsidRPr="00F204FC" w:rsidRDefault="00BC5915" w:rsidP="00E14CC9">
            <w:pPr>
              <w:spacing w:line="360" w:lineRule="auto"/>
              <w:ind w:left="90" w:right="-270"/>
              <w:jc w:val="both"/>
              <w:rPr>
                <w:rFonts w:asciiTheme="majorBidi" w:hAnsiTheme="majorBidi" w:cstheme="majorBidi"/>
                <w:sz w:val="28"/>
                <w:szCs w:val="28"/>
              </w:rPr>
            </w:pPr>
            <w:r w:rsidRPr="00F204FC">
              <w:rPr>
                <w:rFonts w:asciiTheme="majorBidi" w:hAnsiTheme="majorBidi" w:cstheme="majorBidi"/>
                <w:sz w:val="28"/>
                <w:szCs w:val="28"/>
              </w:rPr>
              <w:t>ST188</w:t>
            </w:r>
          </w:p>
        </w:tc>
        <w:tc>
          <w:tcPr>
            <w:tcW w:w="117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108" w:right="72" w:firstLine="207"/>
              <w:jc w:val="both"/>
              <w:rPr>
                <w:rFonts w:asciiTheme="majorBidi" w:hAnsiTheme="majorBidi" w:cstheme="majorBidi"/>
                <w:sz w:val="28"/>
                <w:szCs w:val="28"/>
              </w:rPr>
            </w:pPr>
            <w:r w:rsidRPr="00F204FC">
              <w:rPr>
                <w:rFonts w:asciiTheme="majorBidi" w:hAnsiTheme="majorBidi" w:cstheme="majorBidi"/>
                <w:sz w:val="28"/>
                <w:szCs w:val="28"/>
              </w:rPr>
              <w:t>CC1</w:t>
            </w:r>
          </w:p>
        </w:tc>
        <w:tc>
          <w:tcPr>
            <w:tcW w:w="180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spacing w:line="360" w:lineRule="auto"/>
              <w:ind w:left="90" w:firstLine="648"/>
              <w:rPr>
                <w:rFonts w:asciiTheme="majorBidi" w:hAnsiTheme="majorBidi" w:cstheme="majorBidi"/>
                <w:sz w:val="28"/>
                <w:szCs w:val="28"/>
              </w:rPr>
            </w:pPr>
            <w:r w:rsidRPr="00F204FC">
              <w:rPr>
                <w:rFonts w:asciiTheme="majorBidi" w:hAnsiTheme="majorBidi" w:cstheme="majorBidi"/>
                <w:sz w:val="28"/>
                <w:szCs w:val="28"/>
              </w:rPr>
              <w:t>V</w:t>
            </w:r>
          </w:p>
        </w:tc>
      </w:tr>
    </w:tbl>
    <w:p w:rsidR="00BC5915" w:rsidRPr="00F204FC" w:rsidRDefault="00BC5915" w:rsidP="00BC5915">
      <w:pPr>
        <w:tabs>
          <w:tab w:val="left" w:pos="360"/>
          <w:tab w:val="left" w:pos="9000"/>
        </w:tabs>
        <w:autoSpaceDE w:val="0"/>
        <w:autoSpaceDN w:val="0"/>
        <w:adjustRightInd w:val="0"/>
        <w:spacing w:line="360" w:lineRule="auto"/>
        <w:ind w:right="-450"/>
        <w:jc w:val="both"/>
        <w:rPr>
          <w:rFonts w:asciiTheme="majorBidi" w:eastAsia="*HCI-Tulip,Bold-Identity-H" w:hAnsiTheme="majorBidi" w:cstheme="majorBidi"/>
          <w:sz w:val="28"/>
          <w:szCs w:val="28"/>
        </w:rPr>
      </w:pPr>
    </w:p>
    <w:p w:rsidR="00BC5915" w:rsidRPr="00F204FC" w:rsidRDefault="00BC5915" w:rsidP="00BC5915">
      <w:pPr>
        <w:tabs>
          <w:tab w:val="left" w:pos="270"/>
          <w:tab w:val="left" w:pos="360"/>
          <w:tab w:val="left" w:pos="540"/>
          <w:tab w:val="left" w:pos="9000"/>
        </w:tabs>
        <w:autoSpaceDE w:val="0"/>
        <w:autoSpaceDN w:val="0"/>
        <w:adjustRightInd w:val="0"/>
        <w:spacing w:line="360" w:lineRule="auto"/>
        <w:ind w:left="180" w:right="-187"/>
        <w:jc w:val="right"/>
        <w:rPr>
          <w:rFonts w:asciiTheme="majorBidi" w:hAnsiTheme="majorBidi" w:cstheme="majorBidi"/>
          <w:sz w:val="28"/>
          <w:szCs w:val="28"/>
        </w:rPr>
      </w:pPr>
      <w:r w:rsidRPr="00F204FC">
        <w:rPr>
          <w:rFonts w:asciiTheme="majorBidi" w:eastAsia="*HCI-Tulip,Bold-Identity-H" w:hAnsiTheme="majorBidi" w:cstheme="majorBidi"/>
          <w:b/>
          <w:bCs/>
          <w:sz w:val="28"/>
          <w:szCs w:val="28"/>
        </w:rPr>
        <w:t xml:space="preserve">Results </w:t>
      </w:r>
    </w:p>
    <w:p w:rsidR="00BC5915" w:rsidRPr="00F204FC" w:rsidRDefault="00BC5915" w:rsidP="00BC5915">
      <w:pPr>
        <w:tabs>
          <w:tab w:val="left" w:pos="270"/>
          <w:tab w:val="left" w:pos="360"/>
          <w:tab w:val="left" w:pos="540"/>
          <w:tab w:val="left" w:pos="9000"/>
        </w:tabs>
        <w:autoSpaceDE w:val="0"/>
        <w:autoSpaceDN w:val="0"/>
        <w:adjustRightInd w:val="0"/>
        <w:spacing w:line="360" w:lineRule="auto"/>
        <w:ind w:left="180" w:right="-187"/>
        <w:jc w:val="right"/>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MIC Determination</w:t>
      </w:r>
    </w:p>
    <w:p w:rsidR="00BC5915" w:rsidRPr="00F204FC" w:rsidRDefault="00BC5915" w:rsidP="00BC5915">
      <w:pPr>
        <w:tabs>
          <w:tab w:val="left" w:pos="270"/>
          <w:tab w:val="left" w:pos="360"/>
          <w:tab w:val="left" w:pos="540"/>
          <w:tab w:val="left" w:pos="9000"/>
        </w:tabs>
        <w:autoSpaceDE w:val="0"/>
        <w:autoSpaceDN w:val="0"/>
        <w:adjustRightInd w:val="0"/>
        <w:spacing w:line="360" w:lineRule="auto"/>
        <w:ind w:left="180" w:right="-187"/>
        <w:jc w:val="right"/>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Overall MIC determination showed different vancomycin MICs (range 2.0 - 4.0 </w:t>
      </w:r>
      <w:r w:rsidRPr="00F204FC">
        <w:rPr>
          <w:rFonts w:asciiTheme="majorBidi" w:eastAsia="Calibri" w:hAnsiTheme="majorBidi" w:cstheme="majorBidi"/>
          <w:i/>
          <w:iCs/>
          <w:sz w:val="28"/>
          <w:szCs w:val="28"/>
        </w:rPr>
        <w:t>µ</w:t>
      </w:r>
      <w:r w:rsidRPr="00F204FC">
        <w:rPr>
          <w:rFonts w:asciiTheme="majorBidi" w:eastAsia="Calibri" w:hAnsiTheme="majorBidi" w:cstheme="majorBidi"/>
          <w:sz w:val="28"/>
          <w:szCs w:val="28"/>
        </w:rPr>
        <w:t>g/ml) were observed amongst the different isolates. No vancomycin  resistance was found among the isolates according to CLSI, (2011) break points (Table 2).</w:t>
      </w:r>
    </w:p>
    <w:p w:rsidR="00BC5915" w:rsidRPr="00F204FC" w:rsidRDefault="00BC5915" w:rsidP="00BC5915">
      <w:pPr>
        <w:tabs>
          <w:tab w:val="left" w:pos="270"/>
        </w:tabs>
        <w:spacing w:line="360" w:lineRule="auto"/>
        <w:ind w:right="-187"/>
        <w:rPr>
          <w:rFonts w:asciiTheme="majorBidi" w:eastAsia="Calibri" w:hAnsiTheme="majorBidi" w:cstheme="majorBidi"/>
          <w:sz w:val="28"/>
          <w:szCs w:val="28"/>
          <w:lang w:bidi="ar-IQ"/>
        </w:rPr>
      </w:pPr>
    </w:p>
    <w:p w:rsidR="00BC5915" w:rsidRDefault="00BC5915" w:rsidP="00BC5915">
      <w:pPr>
        <w:tabs>
          <w:tab w:val="left" w:pos="270"/>
        </w:tabs>
        <w:autoSpaceDE w:val="0"/>
        <w:autoSpaceDN w:val="0"/>
        <w:adjustRightInd w:val="0"/>
        <w:spacing w:line="360" w:lineRule="auto"/>
        <w:ind w:left="180" w:right="-187" w:hanging="1260"/>
        <w:jc w:val="center"/>
        <w:rPr>
          <w:rFonts w:asciiTheme="majorBidi" w:eastAsia="Calibri" w:hAnsiTheme="majorBidi" w:cstheme="majorBidi"/>
          <w:b/>
          <w:bCs/>
          <w:i/>
          <w:iCs/>
          <w:sz w:val="28"/>
          <w:szCs w:val="28"/>
        </w:rPr>
      </w:pPr>
      <w:r w:rsidRPr="00F204FC">
        <w:rPr>
          <w:rFonts w:asciiTheme="majorBidi" w:eastAsia="Calibri" w:hAnsiTheme="majorBidi" w:cstheme="majorBidi"/>
          <w:b/>
          <w:bCs/>
          <w:sz w:val="28"/>
          <w:szCs w:val="28"/>
        </w:rPr>
        <w:t xml:space="preserve">Table 2. Antibiotic concentrations of 1/2 MIC added to each isolates of </w:t>
      </w:r>
      <w:r w:rsidRPr="00F204FC">
        <w:rPr>
          <w:rFonts w:asciiTheme="majorBidi" w:eastAsia="Calibri" w:hAnsiTheme="majorBidi" w:cstheme="majorBidi"/>
          <w:b/>
          <w:bCs/>
          <w:i/>
          <w:iCs/>
          <w:sz w:val="28"/>
          <w:szCs w:val="28"/>
        </w:rPr>
        <w:t>S.</w:t>
      </w:r>
    </w:p>
    <w:p w:rsidR="00BC5915" w:rsidRPr="00F204FC" w:rsidRDefault="00BC5915" w:rsidP="00BC5915">
      <w:pPr>
        <w:tabs>
          <w:tab w:val="left" w:pos="270"/>
        </w:tabs>
        <w:autoSpaceDE w:val="0"/>
        <w:autoSpaceDN w:val="0"/>
        <w:adjustRightInd w:val="0"/>
        <w:spacing w:line="360" w:lineRule="auto"/>
        <w:ind w:left="180" w:right="-187" w:hanging="1260"/>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i/>
          <w:iCs/>
          <w:sz w:val="28"/>
          <w:szCs w:val="28"/>
        </w:rPr>
        <w:t xml:space="preserve">  aureus  </w:t>
      </w:r>
      <w:r w:rsidRPr="00F204FC">
        <w:rPr>
          <w:rFonts w:asciiTheme="majorBidi" w:eastAsia="Calibri" w:hAnsiTheme="majorBidi" w:cstheme="majorBidi"/>
          <w:b/>
          <w:bCs/>
          <w:sz w:val="28"/>
          <w:szCs w:val="28"/>
        </w:rPr>
        <w:t>used in this study.</w:t>
      </w:r>
    </w:p>
    <w:tbl>
      <w:tblPr>
        <w:tblW w:w="8010" w:type="dxa"/>
        <w:jc w:val="center"/>
        <w:tblInd w:w="28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2790"/>
        <w:gridCol w:w="2430"/>
        <w:gridCol w:w="2790"/>
      </w:tblGrid>
      <w:tr w:rsidR="00BC5915" w:rsidRPr="00F204FC" w:rsidTr="00E14CC9">
        <w:trPr>
          <w:trHeight w:val="312"/>
          <w:jc w:val="center"/>
        </w:trPr>
        <w:tc>
          <w:tcPr>
            <w:tcW w:w="2790" w:type="dxa"/>
            <w:vMerge w:val="restart"/>
            <w:tcBorders>
              <w:top w:val="single" w:sz="12" w:space="0" w:color="auto"/>
              <w:bottom w:val="single" w:sz="12" w:space="0" w:color="auto"/>
            </w:tcBorders>
          </w:tcPr>
          <w:p w:rsidR="00BC5915" w:rsidRPr="00F204FC" w:rsidRDefault="00BC5915" w:rsidP="00E14CC9">
            <w:pPr>
              <w:autoSpaceDE w:val="0"/>
              <w:autoSpaceDN w:val="0"/>
              <w:adjustRightInd w:val="0"/>
              <w:spacing w:line="360" w:lineRule="auto"/>
              <w:ind w:left="90" w:right="-450"/>
              <w:rPr>
                <w:rFonts w:asciiTheme="majorBidi" w:hAnsiTheme="majorBidi" w:cstheme="majorBidi"/>
                <w:sz w:val="28"/>
                <w:szCs w:val="28"/>
              </w:rPr>
            </w:pPr>
            <w:r w:rsidRPr="00F204FC">
              <w:rPr>
                <w:rFonts w:asciiTheme="majorBidi" w:hAnsiTheme="majorBidi" w:cstheme="majorBidi"/>
                <w:sz w:val="28"/>
                <w:szCs w:val="28"/>
              </w:rPr>
              <w:lastRenderedPageBreak/>
              <w:t xml:space="preserve">No. of </w:t>
            </w:r>
          </w:p>
          <w:p w:rsidR="00BC5915" w:rsidRPr="00F204FC" w:rsidRDefault="00BC5915" w:rsidP="00E14CC9">
            <w:pPr>
              <w:autoSpaceDE w:val="0"/>
              <w:autoSpaceDN w:val="0"/>
              <w:adjustRightInd w:val="0"/>
              <w:spacing w:line="360" w:lineRule="auto"/>
              <w:ind w:left="90" w:right="-450"/>
              <w:rPr>
                <w:rFonts w:asciiTheme="majorBidi" w:hAnsiTheme="majorBidi" w:cstheme="majorBidi"/>
                <w:sz w:val="28"/>
                <w:szCs w:val="28"/>
              </w:rPr>
            </w:pPr>
            <w:r w:rsidRPr="00F204FC">
              <w:rPr>
                <w:rFonts w:asciiTheme="majorBidi" w:hAnsiTheme="majorBidi" w:cstheme="majorBidi"/>
                <w:sz w:val="28"/>
                <w:szCs w:val="28"/>
              </w:rPr>
              <w:t>isolates</w:t>
            </w:r>
          </w:p>
        </w:tc>
        <w:tc>
          <w:tcPr>
            <w:tcW w:w="5220" w:type="dxa"/>
            <w:gridSpan w:val="2"/>
            <w:tcBorders>
              <w:top w:val="single" w:sz="12" w:space="0" w:color="auto"/>
              <w:bottom w:val="single" w:sz="12" w:space="0" w:color="auto"/>
              <w:right w:val="single" w:sz="4" w:space="0" w:color="auto"/>
            </w:tcBorders>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               Antibiotic  concentration  in  µ/ml</w:t>
            </w:r>
          </w:p>
        </w:tc>
      </w:tr>
      <w:tr w:rsidR="00BC5915" w:rsidRPr="00F204FC" w:rsidTr="00E14CC9">
        <w:trPr>
          <w:trHeight w:val="170"/>
          <w:jc w:val="center"/>
        </w:trPr>
        <w:tc>
          <w:tcPr>
            <w:tcW w:w="2790" w:type="dxa"/>
            <w:vMerge/>
            <w:tcBorders>
              <w:top w:val="single" w:sz="12" w:space="0" w:color="auto"/>
              <w:bottom w:val="single" w:sz="12" w:space="0" w:color="auto"/>
            </w:tcBorders>
          </w:tcPr>
          <w:p w:rsidR="00BC5915" w:rsidRPr="00F204FC" w:rsidRDefault="00BC5915" w:rsidP="00E14CC9">
            <w:pPr>
              <w:autoSpaceDE w:val="0"/>
              <w:autoSpaceDN w:val="0"/>
              <w:adjustRightInd w:val="0"/>
              <w:spacing w:line="360" w:lineRule="auto"/>
              <w:ind w:left="90" w:right="-450"/>
              <w:jc w:val="center"/>
              <w:rPr>
                <w:rFonts w:asciiTheme="majorBidi" w:hAnsiTheme="majorBidi" w:cstheme="majorBidi"/>
                <w:sz w:val="28"/>
                <w:szCs w:val="28"/>
              </w:rPr>
            </w:pPr>
          </w:p>
        </w:tc>
        <w:tc>
          <w:tcPr>
            <w:tcW w:w="5220" w:type="dxa"/>
            <w:gridSpan w:val="2"/>
            <w:tcBorders>
              <w:top w:val="single" w:sz="12" w:space="0" w:color="auto"/>
              <w:bottom w:val="single" w:sz="12" w:space="0" w:color="auto"/>
              <w:right w:val="single" w:sz="4" w:space="0" w:color="auto"/>
            </w:tcBorders>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sz w:val="28"/>
                <w:szCs w:val="28"/>
              </w:rPr>
            </w:pPr>
            <w:r w:rsidRPr="00F204FC">
              <w:rPr>
                <w:rFonts w:asciiTheme="majorBidi" w:hAnsiTheme="majorBidi" w:cstheme="majorBidi"/>
                <w:sz w:val="28"/>
                <w:szCs w:val="28"/>
              </w:rPr>
              <w:t xml:space="preserve">                             Vancomycin</w:t>
            </w:r>
          </w:p>
        </w:tc>
      </w:tr>
      <w:tr w:rsidR="00BC5915" w:rsidRPr="00F204FC" w:rsidTr="00E14CC9">
        <w:trPr>
          <w:trHeight w:val="342"/>
          <w:jc w:val="center"/>
        </w:trPr>
        <w:tc>
          <w:tcPr>
            <w:tcW w:w="2790" w:type="dxa"/>
            <w:vMerge/>
            <w:tcBorders>
              <w:top w:val="single" w:sz="12" w:space="0" w:color="auto"/>
              <w:bottom w:val="single" w:sz="12" w:space="0" w:color="auto"/>
            </w:tcBorders>
          </w:tcPr>
          <w:p w:rsidR="00BC5915" w:rsidRPr="00F204FC" w:rsidRDefault="00BC5915" w:rsidP="00E14CC9">
            <w:pPr>
              <w:autoSpaceDE w:val="0"/>
              <w:autoSpaceDN w:val="0"/>
              <w:adjustRightInd w:val="0"/>
              <w:spacing w:line="360" w:lineRule="auto"/>
              <w:ind w:left="90" w:right="-450"/>
              <w:jc w:val="center"/>
              <w:rPr>
                <w:rFonts w:asciiTheme="majorBidi" w:eastAsia="Calibri" w:hAnsiTheme="majorBidi" w:cstheme="majorBidi"/>
                <w:sz w:val="28"/>
                <w:szCs w:val="28"/>
              </w:rPr>
            </w:pPr>
          </w:p>
        </w:tc>
        <w:tc>
          <w:tcPr>
            <w:tcW w:w="2430" w:type="dxa"/>
            <w:tcBorders>
              <w:top w:val="single" w:sz="12" w:space="0" w:color="auto"/>
              <w:bottom w:val="single" w:sz="12" w:space="0" w:color="auto"/>
            </w:tcBorders>
          </w:tcPr>
          <w:p w:rsidR="00BC5915" w:rsidRPr="00F204FC" w:rsidRDefault="00BC5915" w:rsidP="00E14CC9">
            <w:pPr>
              <w:autoSpaceDE w:val="0"/>
              <w:autoSpaceDN w:val="0"/>
              <w:adjustRightInd w:val="0"/>
              <w:spacing w:line="360" w:lineRule="auto"/>
              <w:ind w:left="90" w:right="-450"/>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MIC</w:t>
            </w:r>
          </w:p>
        </w:tc>
        <w:tc>
          <w:tcPr>
            <w:tcW w:w="2790" w:type="dxa"/>
            <w:tcBorders>
              <w:top w:val="single" w:sz="12" w:space="0" w:color="auto"/>
              <w:bottom w:val="single" w:sz="12" w:space="0" w:color="auto"/>
            </w:tcBorders>
            <w:shd w:val="clear" w:color="auto" w:fill="FFFFFF"/>
          </w:tcPr>
          <w:p w:rsidR="00BC5915" w:rsidRPr="00F204FC" w:rsidRDefault="00BC5915" w:rsidP="00E14CC9">
            <w:pPr>
              <w:tabs>
                <w:tab w:val="left" w:pos="342"/>
                <w:tab w:val="left" w:pos="972"/>
                <w:tab w:val="left" w:pos="1152"/>
                <w:tab w:val="left" w:pos="1224"/>
                <w:tab w:val="left" w:pos="1782"/>
              </w:tabs>
              <w:autoSpaceDE w:val="0"/>
              <w:autoSpaceDN w:val="0"/>
              <w:adjustRightInd w:val="0"/>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1/2MIC</w:t>
            </w:r>
            <w:r w:rsidRPr="00F204FC">
              <w:rPr>
                <w:rFonts w:asciiTheme="majorBidi" w:eastAsia="Calibri" w:hAnsiTheme="majorBidi" w:cstheme="majorBidi"/>
                <w:sz w:val="28"/>
                <w:szCs w:val="28"/>
                <w:vertAlign w:val="superscript"/>
              </w:rPr>
              <w:t>a</w:t>
            </w:r>
          </w:p>
        </w:tc>
      </w:tr>
      <w:tr w:rsidR="00BC5915" w:rsidRPr="00F204FC" w:rsidTr="00E14CC9">
        <w:trPr>
          <w:trHeight w:val="397"/>
          <w:jc w:val="center"/>
        </w:trPr>
        <w:tc>
          <w:tcPr>
            <w:tcW w:w="279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pStyle w:val="a4"/>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1 (</w:t>
            </w:r>
            <w:r w:rsidRPr="00F204FC">
              <w:rPr>
                <w:rFonts w:asciiTheme="majorBidi" w:eastAsia="Calibri" w:hAnsiTheme="majorBidi" w:cstheme="majorBidi"/>
                <w:b/>
                <w:bCs/>
                <w:sz w:val="28"/>
                <w:szCs w:val="28"/>
              </w:rPr>
              <w:t>MRSA</w:t>
            </w:r>
            <w:r w:rsidRPr="00F204FC">
              <w:rPr>
                <w:rFonts w:asciiTheme="majorBidi" w:eastAsia="Calibri" w:hAnsiTheme="majorBidi" w:cstheme="majorBidi"/>
                <w:sz w:val="28"/>
                <w:szCs w:val="28"/>
              </w:rPr>
              <w:t>)/</w:t>
            </w:r>
            <w:r w:rsidRPr="00F204FC">
              <w:rPr>
                <w:rFonts w:asciiTheme="majorBidi" w:hAnsiTheme="majorBidi" w:cstheme="majorBidi"/>
                <w:sz w:val="28"/>
                <w:szCs w:val="28"/>
              </w:rPr>
              <w:t>88</w:t>
            </w:r>
          </w:p>
        </w:tc>
        <w:tc>
          <w:tcPr>
            <w:tcW w:w="243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450"/>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2</w:t>
            </w:r>
          </w:p>
        </w:tc>
        <w:tc>
          <w:tcPr>
            <w:tcW w:w="2790" w:type="dxa"/>
            <w:tcBorders>
              <w:top w:val="single" w:sz="12" w:space="0" w:color="auto"/>
              <w:left w:val="single" w:sz="12" w:space="0" w:color="auto"/>
              <w:bottom w:val="single" w:sz="12" w:space="0" w:color="auto"/>
              <w:right w:val="single" w:sz="12" w:space="0" w:color="auto"/>
            </w:tcBorders>
            <w:shd w:val="clear" w:color="auto" w:fill="FFFFFF"/>
          </w:tcPr>
          <w:p w:rsidR="00BC5915" w:rsidRPr="00F204FC" w:rsidRDefault="00BC5915" w:rsidP="00E14CC9">
            <w:pPr>
              <w:tabs>
                <w:tab w:val="left" w:pos="972"/>
              </w:tabs>
              <w:autoSpaceDE w:val="0"/>
              <w:autoSpaceDN w:val="0"/>
              <w:adjustRightInd w:val="0"/>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1</w:t>
            </w:r>
          </w:p>
        </w:tc>
      </w:tr>
      <w:tr w:rsidR="00BC5915" w:rsidRPr="00F204FC" w:rsidTr="00E14CC9">
        <w:trPr>
          <w:jc w:val="center"/>
        </w:trPr>
        <w:tc>
          <w:tcPr>
            <w:tcW w:w="279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pStyle w:val="a4"/>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2 (</w:t>
            </w:r>
            <w:r w:rsidRPr="00F204FC">
              <w:rPr>
                <w:rFonts w:asciiTheme="majorBidi" w:eastAsia="Calibri" w:hAnsiTheme="majorBidi" w:cstheme="majorBidi"/>
                <w:b/>
                <w:bCs/>
                <w:sz w:val="28"/>
                <w:szCs w:val="28"/>
              </w:rPr>
              <w:t>MRSA</w:t>
            </w:r>
            <w:r w:rsidRPr="00F204FC">
              <w:rPr>
                <w:rFonts w:asciiTheme="majorBidi" w:eastAsia="Calibri" w:hAnsiTheme="majorBidi" w:cstheme="majorBidi"/>
                <w:sz w:val="28"/>
                <w:szCs w:val="28"/>
              </w:rPr>
              <w:t>)/</w:t>
            </w:r>
            <w:r w:rsidRPr="00F204FC">
              <w:rPr>
                <w:rFonts w:asciiTheme="majorBidi" w:hAnsiTheme="majorBidi" w:cstheme="majorBidi"/>
                <w:sz w:val="28"/>
                <w:szCs w:val="28"/>
              </w:rPr>
              <w:t>340</w:t>
            </w:r>
          </w:p>
        </w:tc>
        <w:tc>
          <w:tcPr>
            <w:tcW w:w="243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450"/>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2</w:t>
            </w:r>
          </w:p>
        </w:tc>
        <w:tc>
          <w:tcPr>
            <w:tcW w:w="2790" w:type="dxa"/>
            <w:tcBorders>
              <w:top w:val="single" w:sz="12" w:space="0" w:color="auto"/>
              <w:left w:val="single" w:sz="12" w:space="0" w:color="auto"/>
              <w:bottom w:val="single" w:sz="12" w:space="0" w:color="auto"/>
              <w:right w:val="single" w:sz="12" w:space="0" w:color="auto"/>
            </w:tcBorders>
            <w:shd w:val="clear" w:color="auto" w:fill="FFFFFF"/>
          </w:tcPr>
          <w:p w:rsidR="00BC5915" w:rsidRPr="00F204FC" w:rsidRDefault="00BC5915" w:rsidP="00E14CC9">
            <w:pPr>
              <w:tabs>
                <w:tab w:val="left" w:pos="434"/>
                <w:tab w:val="left" w:pos="972"/>
              </w:tabs>
              <w:autoSpaceDE w:val="0"/>
              <w:autoSpaceDN w:val="0"/>
              <w:adjustRightInd w:val="0"/>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1</w:t>
            </w:r>
          </w:p>
        </w:tc>
      </w:tr>
      <w:tr w:rsidR="00BC5915" w:rsidRPr="00F204FC" w:rsidTr="00E14CC9">
        <w:trPr>
          <w:jc w:val="center"/>
        </w:trPr>
        <w:tc>
          <w:tcPr>
            <w:tcW w:w="279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pStyle w:val="a4"/>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3 (</w:t>
            </w:r>
            <w:r w:rsidRPr="00F204FC">
              <w:rPr>
                <w:rFonts w:asciiTheme="majorBidi" w:eastAsia="Calibri" w:hAnsiTheme="majorBidi" w:cstheme="majorBidi"/>
                <w:b/>
                <w:bCs/>
                <w:sz w:val="28"/>
                <w:szCs w:val="28"/>
              </w:rPr>
              <w:t>MRSA</w:t>
            </w:r>
            <w:r w:rsidRPr="00F204FC">
              <w:rPr>
                <w:rFonts w:asciiTheme="majorBidi" w:eastAsia="Calibri" w:hAnsiTheme="majorBidi" w:cstheme="majorBidi"/>
                <w:sz w:val="28"/>
                <w:szCs w:val="28"/>
              </w:rPr>
              <w:t>)/</w:t>
            </w:r>
            <w:r w:rsidRPr="00F204FC">
              <w:rPr>
                <w:rFonts w:asciiTheme="majorBidi" w:hAnsiTheme="majorBidi" w:cstheme="majorBidi"/>
                <w:sz w:val="28"/>
                <w:szCs w:val="28"/>
              </w:rPr>
              <w:t>20</w:t>
            </w:r>
          </w:p>
        </w:tc>
        <w:tc>
          <w:tcPr>
            <w:tcW w:w="243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450"/>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4</w:t>
            </w:r>
          </w:p>
        </w:tc>
        <w:tc>
          <w:tcPr>
            <w:tcW w:w="2790" w:type="dxa"/>
            <w:tcBorders>
              <w:top w:val="single" w:sz="12" w:space="0" w:color="auto"/>
              <w:left w:val="single" w:sz="12" w:space="0" w:color="auto"/>
              <w:bottom w:val="single" w:sz="12" w:space="0" w:color="auto"/>
              <w:right w:val="single" w:sz="12" w:space="0" w:color="auto"/>
            </w:tcBorders>
            <w:shd w:val="clear" w:color="auto" w:fill="FFFFFF"/>
          </w:tcPr>
          <w:p w:rsidR="00BC5915" w:rsidRPr="00F204FC" w:rsidRDefault="00BC5915" w:rsidP="00E14CC9">
            <w:pPr>
              <w:tabs>
                <w:tab w:val="left" w:pos="972"/>
              </w:tabs>
              <w:autoSpaceDE w:val="0"/>
              <w:autoSpaceDN w:val="0"/>
              <w:adjustRightInd w:val="0"/>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2</w:t>
            </w:r>
          </w:p>
        </w:tc>
      </w:tr>
    </w:tbl>
    <w:p w:rsidR="00BC5915" w:rsidRPr="00F204FC" w:rsidRDefault="00BC5915" w:rsidP="00BC5915">
      <w:pPr>
        <w:autoSpaceDE w:val="0"/>
        <w:autoSpaceDN w:val="0"/>
        <w:adjustRightInd w:val="0"/>
        <w:spacing w:line="360" w:lineRule="auto"/>
        <w:ind w:left="90" w:right="-450"/>
        <w:rPr>
          <w:rFonts w:asciiTheme="majorBidi" w:eastAsia="Calibri" w:hAnsiTheme="majorBidi" w:cstheme="majorBidi"/>
          <w:b/>
          <w:bCs/>
          <w:sz w:val="28"/>
          <w:szCs w:val="28"/>
          <w:vertAlign w:val="superscript"/>
        </w:rPr>
      </w:pPr>
    </w:p>
    <w:p w:rsidR="00BC5915" w:rsidRPr="00F204FC" w:rsidRDefault="00BC5915" w:rsidP="00BC5915">
      <w:pPr>
        <w:autoSpaceDE w:val="0"/>
        <w:autoSpaceDN w:val="0"/>
        <w:adjustRightInd w:val="0"/>
        <w:spacing w:line="360" w:lineRule="auto"/>
        <w:ind w:left="90" w:right="-450"/>
        <w:rPr>
          <w:rFonts w:asciiTheme="majorBidi" w:eastAsia="Calibri" w:hAnsiTheme="majorBidi" w:cstheme="majorBidi"/>
          <w:b/>
          <w:bCs/>
          <w:sz w:val="28"/>
          <w:szCs w:val="28"/>
        </w:rPr>
      </w:pPr>
      <w:r w:rsidRPr="00F204FC">
        <w:rPr>
          <w:rFonts w:asciiTheme="majorBidi" w:eastAsia="Calibri" w:hAnsiTheme="majorBidi" w:cstheme="majorBidi"/>
          <w:b/>
          <w:bCs/>
          <w:sz w:val="28"/>
          <w:szCs w:val="28"/>
          <w:vertAlign w:val="superscript"/>
        </w:rPr>
        <w:t xml:space="preserve">a </w:t>
      </w:r>
      <w:r w:rsidRPr="00F204FC">
        <w:rPr>
          <w:rFonts w:asciiTheme="majorBidi" w:eastAsia="Calibri" w:hAnsiTheme="majorBidi" w:cstheme="majorBidi"/>
          <w:b/>
          <w:bCs/>
          <w:sz w:val="28"/>
          <w:szCs w:val="28"/>
        </w:rPr>
        <w:t xml:space="preserve">Antibiotic  concentrations  added  to  each isolates of </w:t>
      </w:r>
      <w:r w:rsidRPr="00F204FC">
        <w:rPr>
          <w:rFonts w:asciiTheme="majorBidi" w:eastAsia="Calibri" w:hAnsiTheme="majorBidi" w:cstheme="majorBidi"/>
          <w:b/>
          <w:bCs/>
          <w:i/>
          <w:iCs/>
          <w:sz w:val="28"/>
          <w:szCs w:val="28"/>
        </w:rPr>
        <w:t xml:space="preserve">S. aureus </w:t>
      </w:r>
      <w:r w:rsidRPr="00F204FC">
        <w:rPr>
          <w:rFonts w:asciiTheme="majorBidi" w:eastAsia="Calibri" w:hAnsiTheme="majorBidi" w:cstheme="majorBidi"/>
          <w:b/>
          <w:bCs/>
          <w:sz w:val="28"/>
          <w:szCs w:val="28"/>
        </w:rPr>
        <w:t>used in this study</w:t>
      </w:r>
    </w:p>
    <w:p w:rsidR="00BC5915" w:rsidRPr="00F204FC" w:rsidRDefault="00BC5915" w:rsidP="00BC5915">
      <w:pPr>
        <w:tabs>
          <w:tab w:val="left" w:pos="9090"/>
        </w:tabs>
        <w:autoSpaceDE w:val="0"/>
        <w:autoSpaceDN w:val="0"/>
        <w:adjustRightInd w:val="0"/>
        <w:spacing w:line="360" w:lineRule="auto"/>
        <w:ind w:left="180" w:right="-97"/>
        <w:jc w:val="both"/>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Biofilm Genes Expression in Cultures Exposed to Vancomycin  for  24 hours</w:t>
      </w:r>
    </w:p>
    <w:p w:rsidR="00BC5915" w:rsidRPr="00F204FC" w:rsidRDefault="00BC5915" w:rsidP="00BC5915">
      <w:pPr>
        <w:tabs>
          <w:tab w:val="left" w:pos="9090"/>
        </w:tabs>
        <w:autoSpaceDE w:val="0"/>
        <w:autoSpaceDN w:val="0"/>
        <w:adjustRightInd w:val="0"/>
        <w:spacing w:line="360" w:lineRule="auto"/>
        <w:ind w:left="180" w:right="-97"/>
        <w:jc w:val="both"/>
        <w:rPr>
          <w:rFonts w:asciiTheme="majorBidi" w:eastAsia="Calibri" w:hAnsiTheme="majorBidi" w:cstheme="majorBidi"/>
          <w:b/>
          <w:bCs/>
          <w:sz w:val="28"/>
          <w:szCs w:val="28"/>
          <w:rtl/>
          <w:lang w:bidi="ar-IQ"/>
        </w:rPr>
      </w:pPr>
      <w:r w:rsidRPr="00F204FC">
        <w:rPr>
          <w:rFonts w:asciiTheme="majorBidi" w:eastAsia="Calibri" w:hAnsiTheme="majorBidi" w:cstheme="majorBidi"/>
          <w:sz w:val="28"/>
          <w:szCs w:val="28"/>
        </w:rPr>
        <w:t xml:space="preserve">In sub-1/2MIC, vancomycin treated 3 different </w:t>
      </w:r>
      <w:r w:rsidRPr="00F204FC">
        <w:rPr>
          <w:rFonts w:asciiTheme="majorBidi" w:hAnsiTheme="majorBidi" w:cstheme="majorBidi"/>
          <w:sz w:val="28"/>
          <w:szCs w:val="28"/>
        </w:rPr>
        <w:t xml:space="preserve">isolates </w:t>
      </w:r>
      <w:r w:rsidRPr="00F204FC">
        <w:rPr>
          <w:rFonts w:asciiTheme="majorBidi" w:eastAsia="Calibri" w:hAnsiTheme="majorBidi" w:cstheme="majorBidi"/>
          <w:sz w:val="28"/>
          <w:szCs w:val="28"/>
        </w:rPr>
        <w:t>of MRSA, the steady-state mRNA transcription levels of biofilm target genes were showed the up and down irregular changes in mRNA transcription levels of two biofilm target genes (Table 3)</w:t>
      </w:r>
    </w:p>
    <w:p w:rsidR="00BC5915" w:rsidRPr="00F204FC" w:rsidRDefault="00BC5915" w:rsidP="00BC5915">
      <w:pPr>
        <w:tabs>
          <w:tab w:val="left" w:pos="9720"/>
        </w:tabs>
        <w:autoSpaceDE w:val="0"/>
        <w:autoSpaceDN w:val="0"/>
        <w:adjustRightInd w:val="0"/>
        <w:spacing w:line="360" w:lineRule="auto"/>
        <w:ind w:left="540" w:right="-277"/>
        <w:jc w:val="center"/>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 xml:space="preserve">Table 3. Fold change in mRNA levels of biofilm target genes in cultures of different </w:t>
      </w:r>
      <w:r w:rsidRPr="00F204FC">
        <w:rPr>
          <w:rFonts w:asciiTheme="majorBidi" w:eastAsia="Calibri" w:hAnsiTheme="majorBidi" w:cstheme="majorBidi"/>
          <w:b/>
          <w:bCs/>
          <w:i/>
          <w:iCs/>
          <w:sz w:val="28"/>
          <w:szCs w:val="28"/>
        </w:rPr>
        <w:t xml:space="preserve">S. aureus </w:t>
      </w:r>
      <w:r w:rsidRPr="00F204FC">
        <w:rPr>
          <w:rFonts w:asciiTheme="majorBidi" w:eastAsia="Calibri" w:hAnsiTheme="majorBidi" w:cstheme="majorBidi"/>
          <w:b/>
          <w:bCs/>
          <w:sz w:val="28"/>
          <w:szCs w:val="28"/>
        </w:rPr>
        <w:t xml:space="preserve">  isolates grown in the presence of Vancomycin.</w:t>
      </w:r>
    </w:p>
    <w:tbl>
      <w:tblPr>
        <w:tblpPr w:leftFromText="180" w:rightFromText="180" w:vertAnchor="text" w:horzAnchor="margin" w:tblpXSpec="center" w:tblpY="170"/>
        <w:tblW w:w="8028" w:type="dxa"/>
        <w:tblBorders>
          <w:top w:val="single" w:sz="12" w:space="0" w:color="auto"/>
          <w:bottom w:val="single" w:sz="12" w:space="0" w:color="auto"/>
        </w:tblBorders>
        <w:tblLook w:val="04A0" w:firstRow="1" w:lastRow="0" w:firstColumn="1" w:lastColumn="0" w:noHBand="0" w:noVBand="1"/>
      </w:tblPr>
      <w:tblGrid>
        <w:gridCol w:w="1689"/>
        <w:gridCol w:w="1209"/>
        <w:gridCol w:w="990"/>
        <w:gridCol w:w="1350"/>
        <w:gridCol w:w="1170"/>
        <w:gridCol w:w="1620"/>
      </w:tblGrid>
      <w:tr w:rsidR="00BC5915" w:rsidRPr="00F204FC" w:rsidTr="00E14CC9">
        <w:tc>
          <w:tcPr>
            <w:tcW w:w="1689" w:type="dxa"/>
            <w:tcBorders>
              <w:top w:val="single" w:sz="4" w:space="0" w:color="auto"/>
              <w:left w:val="single" w:sz="4" w:space="0" w:color="auto"/>
              <w:bottom w:val="single" w:sz="12" w:space="0" w:color="auto"/>
              <w:right w:val="single" w:sz="4" w:space="0" w:color="auto"/>
            </w:tcBorders>
          </w:tcPr>
          <w:p w:rsidR="00BC5915" w:rsidRPr="00F204FC" w:rsidRDefault="00BC5915" w:rsidP="00E14CC9">
            <w:pPr>
              <w:autoSpaceDE w:val="0"/>
              <w:autoSpaceDN w:val="0"/>
              <w:adjustRightInd w:val="0"/>
              <w:spacing w:line="360" w:lineRule="auto"/>
              <w:ind w:left="90" w:right="-450"/>
              <w:rPr>
                <w:rFonts w:asciiTheme="majorBidi" w:hAnsiTheme="majorBidi" w:cstheme="majorBidi"/>
                <w:b/>
                <w:bCs/>
                <w:sz w:val="28"/>
                <w:szCs w:val="28"/>
              </w:rPr>
            </w:pPr>
            <w:r w:rsidRPr="00F204FC">
              <w:rPr>
                <w:rFonts w:asciiTheme="majorBidi" w:hAnsiTheme="majorBidi" w:cstheme="majorBidi"/>
                <w:b/>
                <w:bCs/>
                <w:sz w:val="28"/>
                <w:szCs w:val="28"/>
              </w:rPr>
              <w:t>No. of  isolates</w:t>
            </w:r>
          </w:p>
        </w:tc>
        <w:tc>
          <w:tcPr>
            <w:tcW w:w="1209" w:type="dxa"/>
            <w:tcBorders>
              <w:top w:val="single" w:sz="4" w:space="0" w:color="auto"/>
              <w:left w:val="single" w:sz="4" w:space="0" w:color="auto"/>
              <w:bottom w:val="single" w:sz="12" w:space="0" w:color="auto"/>
              <w:right w:val="single" w:sz="4" w:space="0" w:color="auto"/>
            </w:tcBorders>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Gene</w:t>
            </w:r>
          </w:p>
        </w:tc>
        <w:tc>
          <w:tcPr>
            <w:tcW w:w="990" w:type="dxa"/>
            <w:tcBorders>
              <w:top w:val="single" w:sz="4" w:space="0" w:color="auto"/>
              <w:left w:val="single" w:sz="4" w:space="0" w:color="auto"/>
              <w:bottom w:val="single" w:sz="12" w:space="0" w:color="auto"/>
              <w:right w:val="single" w:sz="4" w:space="0" w:color="auto"/>
            </w:tcBorders>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Type</w:t>
            </w:r>
          </w:p>
        </w:tc>
        <w:tc>
          <w:tcPr>
            <w:tcW w:w="1350" w:type="dxa"/>
            <w:tcBorders>
              <w:top w:val="single" w:sz="4" w:space="0" w:color="auto"/>
              <w:left w:val="single" w:sz="4" w:space="0" w:color="auto"/>
              <w:bottom w:val="single" w:sz="12" w:space="0" w:color="auto"/>
              <w:right w:val="single" w:sz="4"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Expression</w:t>
            </w:r>
          </w:p>
        </w:tc>
        <w:tc>
          <w:tcPr>
            <w:tcW w:w="1170" w:type="dxa"/>
            <w:tcBorders>
              <w:top w:val="single" w:sz="4" w:space="0" w:color="auto"/>
              <w:left w:val="single" w:sz="4" w:space="0" w:color="auto"/>
              <w:bottom w:val="single" w:sz="12" w:space="0" w:color="auto"/>
              <w:right w:val="single" w:sz="4"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P value</w:t>
            </w:r>
          </w:p>
        </w:tc>
        <w:tc>
          <w:tcPr>
            <w:tcW w:w="1620" w:type="dxa"/>
            <w:tcBorders>
              <w:top w:val="single" w:sz="4" w:space="0" w:color="auto"/>
              <w:left w:val="single" w:sz="4" w:space="0" w:color="auto"/>
              <w:bottom w:val="single" w:sz="12" w:space="0" w:color="auto"/>
              <w:right w:val="single" w:sz="4"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Result</w:t>
            </w:r>
          </w:p>
        </w:tc>
      </w:tr>
      <w:tr w:rsidR="00BC5915" w:rsidRPr="00F204FC" w:rsidTr="00E14CC9">
        <w:tc>
          <w:tcPr>
            <w:tcW w:w="1689" w:type="dxa"/>
            <w:vMerge w:val="restart"/>
            <w:tcBorders>
              <w:top w:val="single" w:sz="12" w:space="0" w:color="auto"/>
              <w:left w:val="single" w:sz="12" w:space="0" w:color="auto"/>
              <w:right w:val="single" w:sz="12" w:space="0" w:color="auto"/>
            </w:tcBorders>
          </w:tcPr>
          <w:p w:rsidR="00BC5915" w:rsidRPr="00F204FC" w:rsidRDefault="00BC5915" w:rsidP="00E14CC9">
            <w:pPr>
              <w:pStyle w:val="a4"/>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1 (MRSA)/</w:t>
            </w:r>
            <w:r w:rsidRPr="00F204FC">
              <w:rPr>
                <w:rFonts w:asciiTheme="majorBidi" w:hAnsiTheme="majorBidi" w:cstheme="majorBidi"/>
                <w:sz w:val="28"/>
                <w:szCs w:val="28"/>
              </w:rPr>
              <w:t>88</w:t>
            </w:r>
          </w:p>
          <w:p w:rsidR="00BC5915" w:rsidRPr="00F204FC" w:rsidRDefault="00BC5915" w:rsidP="00E14CC9">
            <w:pPr>
              <w:pStyle w:val="a4"/>
              <w:spacing w:line="360" w:lineRule="auto"/>
              <w:ind w:left="90" w:right="-450"/>
              <w:rPr>
                <w:rFonts w:asciiTheme="majorBidi" w:eastAsia="Calibri" w:hAnsiTheme="majorBidi" w:cstheme="majorBidi"/>
                <w:sz w:val="28"/>
                <w:szCs w:val="28"/>
              </w:rPr>
            </w:pPr>
          </w:p>
        </w:tc>
        <w:tc>
          <w:tcPr>
            <w:tcW w:w="1209"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sz w:val="28"/>
                <w:szCs w:val="28"/>
              </w:rPr>
            </w:pPr>
            <w:r w:rsidRPr="00F204FC">
              <w:rPr>
                <w:rFonts w:asciiTheme="majorBidi" w:hAnsiTheme="majorBidi" w:cstheme="majorBidi"/>
                <w:sz w:val="28"/>
                <w:szCs w:val="28"/>
              </w:rPr>
              <w:t>16s</w:t>
            </w:r>
          </w:p>
        </w:tc>
        <w:tc>
          <w:tcPr>
            <w:tcW w:w="99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t>REF</w:t>
            </w:r>
          </w:p>
        </w:tc>
        <w:tc>
          <w:tcPr>
            <w:tcW w:w="135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hAnsiTheme="majorBidi" w:cstheme="majorBidi"/>
                <w:sz w:val="28"/>
                <w:szCs w:val="28"/>
              </w:rPr>
              <w:t>1.000</w:t>
            </w:r>
          </w:p>
        </w:tc>
        <w:tc>
          <w:tcPr>
            <w:tcW w:w="117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p>
        </w:tc>
        <w:tc>
          <w:tcPr>
            <w:tcW w:w="162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p>
        </w:tc>
      </w:tr>
      <w:tr w:rsidR="00BC5915" w:rsidRPr="00F204FC" w:rsidTr="00E14CC9">
        <w:tc>
          <w:tcPr>
            <w:tcW w:w="1689" w:type="dxa"/>
            <w:vMerge/>
            <w:tcBorders>
              <w:left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p>
        </w:tc>
        <w:tc>
          <w:tcPr>
            <w:tcW w:w="1209"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r w:rsidRPr="00F204FC">
              <w:rPr>
                <w:rFonts w:asciiTheme="majorBidi" w:eastAsia="Calibri" w:hAnsiTheme="majorBidi" w:cstheme="majorBidi"/>
                <w:i/>
                <w:iCs/>
                <w:sz w:val="28"/>
                <w:szCs w:val="28"/>
              </w:rPr>
              <w:t>ica</w:t>
            </w:r>
            <w:r w:rsidRPr="00F204FC">
              <w:rPr>
                <w:rFonts w:asciiTheme="majorBidi" w:eastAsia="Calibri" w:hAnsiTheme="majorBidi" w:cstheme="majorBidi"/>
                <w:sz w:val="28"/>
                <w:szCs w:val="28"/>
              </w:rPr>
              <w:t>A</w:t>
            </w:r>
          </w:p>
        </w:tc>
        <w:tc>
          <w:tcPr>
            <w:tcW w:w="99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spacing w:line="360" w:lineRule="auto"/>
              <w:ind w:left="90" w:right="-450"/>
              <w:rPr>
                <w:rFonts w:asciiTheme="majorBidi" w:hAnsiTheme="majorBidi" w:cstheme="majorBidi"/>
                <w:sz w:val="28"/>
                <w:szCs w:val="28"/>
              </w:rPr>
            </w:pPr>
            <w:r w:rsidRPr="00F204FC">
              <w:rPr>
                <w:rFonts w:asciiTheme="majorBidi" w:eastAsia="Calibri" w:hAnsiTheme="majorBidi" w:cstheme="majorBidi"/>
                <w:sz w:val="28"/>
                <w:szCs w:val="28"/>
              </w:rPr>
              <w:t>TRG</w:t>
            </w:r>
          </w:p>
        </w:tc>
        <w:tc>
          <w:tcPr>
            <w:tcW w:w="135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hAnsiTheme="majorBidi" w:cstheme="majorBidi"/>
                <w:sz w:val="28"/>
                <w:szCs w:val="28"/>
              </w:rPr>
              <w:t>1.943</w:t>
            </w:r>
          </w:p>
        </w:tc>
        <w:tc>
          <w:tcPr>
            <w:tcW w:w="117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hAnsiTheme="majorBidi" w:cstheme="majorBidi"/>
                <w:sz w:val="28"/>
                <w:szCs w:val="28"/>
              </w:rPr>
              <w:t>0.000</w:t>
            </w:r>
          </w:p>
        </w:tc>
        <w:tc>
          <w:tcPr>
            <w:tcW w:w="1620" w:type="dxa"/>
            <w:tcBorders>
              <w:top w:val="single" w:sz="12" w:space="0" w:color="auto"/>
              <w:left w:val="single" w:sz="12" w:space="0" w:color="auto"/>
              <w:bottom w:val="single" w:sz="12" w:space="0" w:color="auto"/>
              <w:right w:val="single" w:sz="12" w:space="0" w:color="auto"/>
            </w:tcBorders>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hAnsiTheme="majorBidi" w:cstheme="majorBidi"/>
                <w:sz w:val="28"/>
                <w:szCs w:val="28"/>
              </w:rPr>
              <w:t>UP</w:t>
            </w:r>
          </w:p>
        </w:tc>
      </w:tr>
      <w:tr w:rsidR="00BC5915" w:rsidRPr="00F204FC" w:rsidTr="00E14CC9">
        <w:tc>
          <w:tcPr>
            <w:tcW w:w="1689" w:type="dxa"/>
            <w:vMerge/>
            <w:tcBorders>
              <w:left w:val="single" w:sz="12" w:space="0" w:color="auto"/>
              <w:bottom w:val="single" w:sz="12" w:space="0" w:color="auto"/>
              <w:right w:val="single" w:sz="12" w:space="0" w:color="auto"/>
            </w:tcBorders>
            <w:shd w:val="clear" w:color="auto" w:fill="D9D9D9"/>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p>
        </w:tc>
        <w:tc>
          <w:tcPr>
            <w:tcW w:w="12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r w:rsidRPr="00F204FC">
              <w:rPr>
                <w:rFonts w:asciiTheme="majorBidi" w:eastAsia="Calibri" w:hAnsiTheme="majorBidi" w:cstheme="majorBidi"/>
                <w:i/>
                <w:iCs/>
                <w:sz w:val="28"/>
                <w:szCs w:val="28"/>
              </w:rPr>
              <w:t>ica</w:t>
            </w:r>
            <w:r w:rsidRPr="00F204FC">
              <w:rPr>
                <w:rFonts w:asciiTheme="majorBidi" w:eastAsia="Calibri" w:hAnsiTheme="majorBidi" w:cstheme="majorBidi"/>
                <w:sz w:val="28"/>
                <w:szCs w:val="28"/>
              </w:rPr>
              <w:t>B</w:t>
            </w:r>
          </w:p>
        </w:tc>
        <w:tc>
          <w:tcPr>
            <w:tcW w:w="9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90" w:right="-450"/>
              <w:rPr>
                <w:rFonts w:asciiTheme="majorBidi" w:hAnsiTheme="majorBidi" w:cstheme="majorBidi"/>
                <w:sz w:val="28"/>
                <w:szCs w:val="28"/>
              </w:rPr>
            </w:pPr>
            <w:r w:rsidRPr="00F204FC">
              <w:rPr>
                <w:rFonts w:asciiTheme="majorBidi" w:eastAsia="Calibri" w:hAnsiTheme="majorBidi" w:cstheme="majorBidi"/>
                <w:sz w:val="28"/>
                <w:szCs w:val="28"/>
              </w:rPr>
              <w:t>TRG</w:t>
            </w:r>
          </w:p>
        </w:tc>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hAnsiTheme="majorBidi" w:cstheme="majorBidi"/>
                <w:sz w:val="28"/>
                <w:szCs w:val="28"/>
              </w:rPr>
              <w:t>2.458</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hAnsiTheme="majorBidi" w:cstheme="majorBidi"/>
                <w:sz w:val="28"/>
                <w:szCs w:val="28"/>
              </w:rPr>
              <w:t>0.000</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hAnsiTheme="majorBidi" w:cstheme="majorBidi"/>
                <w:sz w:val="28"/>
                <w:szCs w:val="28"/>
              </w:rPr>
              <w:t>UP</w:t>
            </w:r>
          </w:p>
        </w:tc>
      </w:tr>
      <w:tr w:rsidR="00BC5915" w:rsidRPr="00F204FC" w:rsidTr="00E14CC9">
        <w:tc>
          <w:tcPr>
            <w:tcW w:w="1689" w:type="dxa"/>
            <w:vMerge w:val="restart"/>
            <w:tcBorders>
              <w:top w:val="single" w:sz="12" w:space="0" w:color="auto"/>
              <w:left w:val="single" w:sz="12" w:space="0" w:color="auto"/>
              <w:right w:val="single" w:sz="12" w:space="0" w:color="auto"/>
            </w:tcBorders>
            <w:shd w:val="clear" w:color="auto" w:fill="FFFFFF" w:themeFill="background1"/>
          </w:tcPr>
          <w:p w:rsidR="00BC5915" w:rsidRPr="00F204FC" w:rsidRDefault="00BC5915" w:rsidP="00E14CC9">
            <w:pPr>
              <w:pStyle w:val="a4"/>
              <w:spacing w:line="360" w:lineRule="auto"/>
              <w:ind w:left="90" w:right="-450"/>
              <w:rPr>
                <w:rFonts w:asciiTheme="majorBidi" w:eastAsia="Calibri" w:hAnsiTheme="majorBidi" w:cstheme="majorBidi"/>
                <w:sz w:val="28"/>
                <w:szCs w:val="28"/>
              </w:rPr>
            </w:pPr>
            <w:r w:rsidRPr="00F204FC">
              <w:rPr>
                <w:rFonts w:asciiTheme="majorBidi" w:eastAsia="Calibri" w:hAnsiTheme="majorBidi" w:cstheme="majorBidi"/>
                <w:sz w:val="28"/>
                <w:szCs w:val="28"/>
              </w:rPr>
              <w:lastRenderedPageBreak/>
              <w:t>2 (MRSA)/</w:t>
            </w:r>
            <w:r w:rsidRPr="00F204FC">
              <w:rPr>
                <w:rFonts w:asciiTheme="majorBidi" w:hAnsiTheme="majorBidi" w:cstheme="majorBidi"/>
                <w:sz w:val="28"/>
                <w:szCs w:val="28"/>
              </w:rPr>
              <w:t>340</w:t>
            </w:r>
          </w:p>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p>
        </w:tc>
        <w:tc>
          <w:tcPr>
            <w:tcW w:w="12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r w:rsidRPr="00F204FC">
              <w:rPr>
                <w:rFonts w:asciiTheme="majorBidi" w:eastAsia="Calibri" w:hAnsiTheme="majorBidi" w:cstheme="majorBidi"/>
                <w:i/>
                <w:iCs/>
                <w:sz w:val="28"/>
                <w:szCs w:val="28"/>
              </w:rPr>
              <w:t>ica</w:t>
            </w:r>
            <w:r w:rsidRPr="00F204FC">
              <w:rPr>
                <w:rFonts w:asciiTheme="majorBidi" w:eastAsia="Calibri" w:hAnsiTheme="majorBidi" w:cstheme="majorBidi"/>
                <w:sz w:val="28"/>
                <w:szCs w:val="28"/>
              </w:rPr>
              <w:t>A</w:t>
            </w:r>
          </w:p>
        </w:tc>
        <w:tc>
          <w:tcPr>
            <w:tcW w:w="9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90" w:right="-450"/>
              <w:rPr>
                <w:rFonts w:asciiTheme="majorBidi" w:hAnsiTheme="majorBidi" w:cstheme="majorBidi"/>
                <w:sz w:val="28"/>
                <w:szCs w:val="28"/>
              </w:rPr>
            </w:pPr>
            <w:r w:rsidRPr="00F204FC">
              <w:rPr>
                <w:rFonts w:asciiTheme="majorBidi" w:eastAsia="Calibri" w:hAnsiTheme="majorBidi" w:cstheme="majorBidi"/>
                <w:sz w:val="28"/>
                <w:szCs w:val="28"/>
              </w:rPr>
              <w:t>TRG</w:t>
            </w:r>
          </w:p>
        </w:tc>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eastAsia="Calibri" w:hAnsiTheme="majorBidi" w:cstheme="majorBidi"/>
                <w:sz w:val="28"/>
                <w:szCs w:val="28"/>
              </w:rPr>
              <w:t>0.519</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hAnsiTheme="majorBidi" w:cstheme="majorBidi"/>
                <w:sz w:val="28"/>
                <w:szCs w:val="28"/>
              </w:rPr>
              <w:t>0.001</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hAnsiTheme="majorBidi" w:cstheme="majorBidi"/>
                <w:sz w:val="28"/>
                <w:szCs w:val="28"/>
              </w:rPr>
              <w:t>DOWN</w:t>
            </w:r>
          </w:p>
        </w:tc>
      </w:tr>
      <w:tr w:rsidR="00BC5915" w:rsidRPr="00F204FC" w:rsidTr="00E14CC9">
        <w:tc>
          <w:tcPr>
            <w:tcW w:w="1689" w:type="dxa"/>
            <w:vMerge/>
            <w:tcBorders>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p>
        </w:tc>
        <w:tc>
          <w:tcPr>
            <w:tcW w:w="12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r w:rsidRPr="00F204FC">
              <w:rPr>
                <w:rFonts w:asciiTheme="majorBidi" w:eastAsia="Calibri" w:hAnsiTheme="majorBidi" w:cstheme="majorBidi"/>
                <w:i/>
                <w:iCs/>
                <w:sz w:val="28"/>
                <w:szCs w:val="28"/>
              </w:rPr>
              <w:t>ica</w:t>
            </w:r>
            <w:r w:rsidRPr="00F204FC">
              <w:rPr>
                <w:rFonts w:asciiTheme="majorBidi" w:eastAsia="Calibri" w:hAnsiTheme="majorBidi" w:cstheme="majorBidi"/>
                <w:sz w:val="28"/>
                <w:szCs w:val="28"/>
              </w:rPr>
              <w:t>B</w:t>
            </w:r>
          </w:p>
        </w:tc>
        <w:tc>
          <w:tcPr>
            <w:tcW w:w="9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90" w:right="-450"/>
              <w:rPr>
                <w:rFonts w:asciiTheme="majorBidi" w:hAnsiTheme="majorBidi" w:cstheme="majorBidi"/>
                <w:sz w:val="28"/>
                <w:szCs w:val="28"/>
              </w:rPr>
            </w:pPr>
            <w:r w:rsidRPr="00F204FC">
              <w:rPr>
                <w:rFonts w:asciiTheme="majorBidi" w:eastAsia="Calibri" w:hAnsiTheme="majorBidi" w:cstheme="majorBidi"/>
                <w:sz w:val="28"/>
                <w:szCs w:val="28"/>
              </w:rPr>
              <w:t>TRG</w:t>
            </w:r>
          </w:p>
        </w:tc>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eastAsia="Calibri" w:hAnsiTheme="majorBidi" w:cstheme="majorBidi"/>
                <w:sz w:val="28"/>
                <w:szCs w:val="28"/>
              </w:rPr>
              <w:t>2.868</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hAnsiTheme="majorBidi" w:cstheme="majorBidi"/>
                <w:sz w:val="28"/>
                <w:szCs w:val="28"/>
              </w:rPr>
              <w:t>0.001</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hAnsiTheme="majorBidi" w:cstheme="majorBidi"/>
                <w:sz w:val="28"/>
                <w:szCs w:val="28"/>
              </w:rPr>
              <w:t>UP</w:t>
            </w:r>
          </w:p>
        </w:tc>
      </w:tr>
      <w:tr w:rsidR="00BC5915" w:rsidRPr="00F204FC" w:rsidTr="00E14CC9">
        <w:tc>
          <w:tcPr>
            <w:tcW w:w="1689" w:type="dxa"/>
            <w:vMerge w:val="restart"/>
            <w:tcBorders>
              <w:top w:val="single" w:sz="12" w:space="0" w:color="auto"/>
              <w:left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r w:rsidRPr="00F204FC">
              <w:rPr>
                <w:rFonts w:asciiTheme="majorBidi" w:eastAsia="Calibri" w:hAnsiTheme="majorBidi" w:cstheme="majorBidi"/>
                <w:sz w:val="28"/>
                <w:szCs w:val="28"/>
              </w:rPr>
              <w:t>3 (MRSA)/</w:t>
            </w:r>
            <w:r w:rsidRPr="00F204FC">
              <w:rPr>
                <w:rFonts w:asciiTheme="majorBidi" w:hAnsiTheme="majorBidi" w:cstheme="majorBidi"/>
                <w:sz w:val="28"/>
                <w:szCs w:val="28"/>
              </w:rPr>
              <w:t>20</w:t>
            </w:r>
          </w:p>
        </w:tc>
        <w:tc>
          <w:tcPr>
            <w:tcW w:w="12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r w:rsidRPr="00F204FC">
              <w:rPr>
                <w:rFonts w:asciiTheme="majorBidi" w:eastAsia="Calibri" w:hAnsiTheme="majorBidi" w:cstheme="majorBidi"/>
                <w:i/>
                <w:iCs/>
                <w:sz w:val="28"/>
                <w:szCs w:val="28"/>
              </w:rPr>
              <w:t>ica</w:t>
            </w:r>
            <w:r w:rsidRPr="00F204FC">
              <w:rPr>
                <w:rFonts w:asciiTheme="majorBidi" w:eastAsia="Calibri" w:hAnsiTheme="majorBidi" w:cstheme="majorBidi"/>
                <w:sz w:val="28"/>
                <w:szCs w:val="28"/>
              </w:rPr>
              <w:t>A</w:t>
            </w:r>
          </w:p>
        </w:tc>
        <w:tc>
          <w:tcPr>
            <w:tcW w:w="9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90" w:right="-450"/>
              <w:rPr>
                <w:rFonts w:asciiTheme="majorBidi" w:hAnsiTheme="majorBidi" w:cstheme="majorBidi"/>
                <w:sz w:val="28"/>
                <w:szCs w:val="28"/>
              </w:rPr>
            </w:pPr>
            <w:r w:rsidRPr="00F204FC">
              <w:rPr>
                <w:rFonts w:asciiTheme="majorBidi" w:eastAsia="Calibri" w:hAnsiTheme="majorBidi" w:cstheme="majorBidi"/>
                <w:sz w:val="28"/>
                <w:szCs w:val="28"/>
              </w:rPr>
              <w:t>TRG</w:t>
            </w:r>
          </w:p>
        </w:tc>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eastAsia="Calibri" w:hAnsiTheme="majorBidi" w:cstheme="majorBidi"/>
                <w:sz w:val="28"/>
                <w:szCs w:val="28"/>
              </w:rPr>
              <w:t>1.155</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hAnsiTheme="majorBidi" w:cstheme="majorBidi"/>
                <w:sz w:val="28"/>
                <w:szCs w:val="28"/>
              </w:rPr>
              <w:t>0.431</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eastAsia="Calibri" w:hAnsiTheme="majorBidi" w:cstheme="majorBidi"/>
                <w:sz w:val="28"/>
                <w:szCs w:val="28"/>
              </w:rPr>
              <w:t>Not different</w:t>
            </w:r>
          </w:p>
        </w:tc>
      </w:tr>
      <w:tr w:rsidR="00BC5915" w:rsidRPr="00F204FC" w:rsidTr="00E14CC9">
        <w:tc>
          <w:tcPr>
            <w:tcW w:w="1689" w:type="dxa"/>
            <w:vMerge/>
            <w:tcBorders>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p>
        </w:tc>
        <w:tc>
          <w:tcPr>
            <w:tcW w:w="12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90" w:right="-450"/>
              <w:rPr>
                <w:rFonts w:asciiTheme="majorBidi" w:eastAsia="Calibri" w:hAnsiTheme="majorBidi" w:cstheme="majorBidi"/>
                <w:i/>
                <w:iCs/>
                <w:sz w:val="28"/>
                <w:szCs w:val="28"/>
              </w:rPr>
            </w:pPr>
            <w:r w:rsidRPr="00F204FC">
              <w:rPr>
                <w:rFonts w:asciiTheme="majorBidi" w:eastAsia="Calibri" w:hAnsiTheme="majorBidi" w:cstheme="majorBidi"/>
                <w:i/>
                <w:iCs/>
                <w:sz w:val="28"/>
                <w:szCs w:val="28"/>
              </w:rPr>
              <w:t>ica</w:t>
            </w:r>
            <w:r w:rsidRPr="00F204FC">
              <w:rPr>
                <w:rFonts w:asciiTheme="majorBidi" w:eastAsia="Calibri" w:hAnsiTheme="majorBidi" w:cstheme="majorBidi"/>
                <w:sz w:val="28"/>
                <w:szCs w:val="28"/>
              </w:rPr>
              <w:t>B</w:t>
            </w:r>
          </w:p>
        </w:tc>
        <w:tc>
          <w:tcPr>
            <w:tcW w:w="9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90" w:right="-450"/>
              <w:rPr>
                <w:rFonts w:asciiTheme="majorBidi" w:hAnsiTheme="majorBidi" w:cstheme="majorBidi"/>
                <w:sz w:val="28"/>
                <w:szCs w:val="28"/>
              </w:rPr>
            </w:pPr>
            <w:r w:rsidRPr="00F204FC">
              <w:rPr>
                <w:rFonts w:asciiTheme="majorBidi" w:eastAsia="Calibri" w:hAnsiTheme="majorBidi" w:cstheme="majorBidi"/>
                <w:sz w:val="28"/>
                <w:szCs w:val="28"/>
              </w:rPr>
              <w:t>TRG</w:t>
            </w:r>
          </w:p>
        </w:tc>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autoSpaceDE w:val="0"/>
              <w:autoSpaceDN w:val="0"/>
              <w:adjustRightInd w:val="0"/>
              <w:spacing w:line="360" w:lineRule="auto"/>
              <w:ind w:left="72" w:right="-450"/>
              <w:rPr>
                <w:rFonts w:asciiTheme="majorBidi" w:eastAsia="Calibri" w:hAnsiTheme="majorBidi" w:cstheme="majorBidi"/>
                <w:sz w:val="28"/>
                <w:szCs w:val="28"/>
              </w:rPr>
            </w:pPr>
            <w:r w:rsidRPr="00F204FC">
              <w:rPr>
                <w:rFonts w:asciiTheme="majorBidi" w:eastAsia="Calibri" w:hAnsiTheme="majorBidi" w:cstheme="majorBidi"/>
                <w:sz w:val="28"/>
                <w:szCs w:val="28"/>
              </w:rPr>
              <w:t>1.987</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hAnsiTheme="majorBidi" w:cstheme="majorBidi"/>
                <w:sz w:val="28"/>
                <w:szCs w:val="28"/>
              </w:rPr>
              <w:t>0.003</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5915" w:rsidRPr="00F204FC" w:rsidRDefault="00BC5915" w:rsidP="00E14CC9">
            <w:pPr>
              <w:spacing w:line="360" w:lineRule="auto"/>
              <w:ind w:left="72" w:right="-450"/>
              <w:rPr>
                <w:rFonts w:asciiTheme="majorBidi" w:hAnsiTheme="majorBidi" w:cstheme="majorBidi"/>
                <w:sz w:val="28"/>
                <w:szCs w:val="28"/>
              </w:rPr>
            </w:pPr>
            <w:r w:rsidRPr="00F204FC">
              <w:rPr>
                <w:rFonts w:asciiTheme="majorBidi" w:hAnsiTheme="majorBidi" w:cstheme="majorBidi"/>
                <w:sz w:val="28"/>
                <w:szCs w:val="28"/>
              </w:rPr>
              <w:t>UP</w:t>
            </w:r>
          </w:p>
        </w:tc>
      </w:tr>
    </w:tbl>
    <w:p w:rsidR="00BC5915" w:rsidRPr="00F204FC" w:rsidRDefault="00BC5915" w:rsidP="00BC5915">
      <w:pPr>
        <w:autoSpaceDE w:val="0"/>
        <w:autoSpaceDN w:val="0"/>
        <w:adjustRightInd w:val="0"/>
        <w:spacing w:line="360" w:lineRule="auto"/>
        <w:ind w:right="-450"/>
        <w:jc w:val="both"/>
        <w:rPr>
          <w:rFonts w:asciiTheme="majorBidi" w:eastAsia="Calibri" w:hAnsiTheme="majorBidi" w:cstheme="majorBidi"/>
          <w:sz w:val="28"/>
          <w:szCs w:val="28"/>
        </w:rPr>
      </w:pPr>
    </w:p>
    <w:p w:rsidR="00BC5915" w:rsidRPr="00F204FC" w:rsidRDefault="00BC5915" w:rsidP="00BC5915">
      <w:pPr>
        <w:autoSpaceDE w:val="0"/>
        <w:autoSpaceDN w:val="0"/>
        <w:adjustRightInd w:val="0"/>
        <w:spacing w:line="360" w:lineRule="auto"/>
        <w:ind w:left="540" w:right="-450"/>
        <w:jc w:val="both"/>
        <w:rPr>
          <w:rFonts w:asciiTheme="majorBidi" w:eastAsia="Calibri" w:hAnsiTheme="majorBidi" w:cstheme="majorBidi"/>
          <w:sz w:val="28"/>
          <w:szCs w:val="28"/>
        </w:rPr>
      </w:pPr>
    </w:p>
    <w:p w:rsidR="00BC5915" w:rsidRPr="00F204FC" w:rsidRDefault="00BC5915" w:rsidP="00BC5915">
      <w:pPr>
        <w:autoSpaceDE w:val="0"/>
        <w:autoSpaceDN w:val="0"/>
        <w:adjustRightInd w:val="0"/>
        <w:spacing w:line="360" w:lineRule="auto"/>
        <w:ind w:left="540" w:right="-450"/>
        <w:jc w:val="both"/>
        <w:rPr>
          <w:rFonts w:asciiTheme="majorBidi" w:eastAsia="Calibri" w:hAnsiTheme="majorBidi" w:cstheme="majorBidi"/>
          <w:sz w:val="28"/>
          <w:szCs w:val="28"/>
        </w:rPr>
      </w:pPr>
    </w:p>
    <w:p w:rsidR="00BC5915" w:rsidRPr="00F204FC" w:rsidRDefault="00BC5915" w:rsidP="00BC5915">
      <w:pPr>
        <w:autoSpaceDE w:val="0"/>
        <w:autoSpaceDN w:val="0"/>
        <w:adjustRightInd w:val="0"/>
        <w:spacing w:line="360" w:lineRule="auto"/>
        <w:ind w:left="540" w:right="-450"/>
        <w:jc w:val="both"/>
        <w:rPr>
          <w:rFonts w:asciiTheme="majorBidi" w:eastAsia="Calibri" w:hAnsiTheme="majorBidi" w:cstheme="majorBidi"/>
          <w:sz w:val="28"/>
          <w:szCs w:val="28"/>
        </w:rPr>
      </w:pPr>
    </w:p>
    <w:p w:rsidR="00BC5915" w:rsidRPr="00F204FC" w:rsidRDefault="00BC5915" w:rsidP="00BC5915">
      <w:pPr>
        <w:autoSpaceDE w:val="0"/>
        <w:autoSpaceDN w:val="0"/>
        <w:adjustRightInd w:val="0"/>
        <w:spacing w:line="360" w:lineRule="auto"/>
        <w:ind w:left="540" w:right="-450"/>
        <w:jc w:val="both"/>
        <w:rPr>
          <w:rFonts w:asciiTheme="majorBidi" w:eastAsia="Calibri" w:hAnsiTheme="majorBidi" w:cstheme="majorBidi"/>
          <w:sz w:val="28"/>
          <w:szCs w:val="28"/>
        </w:rPr>
      </w:pPr>
    </w:p>
    <w:p w:rsidR="00BC5915" w:rsidRPr="00F204FC" w:rsidRDefault="00BC5915" w:rsidP="00BC5915">
      <w:pPr>
        <w:autoSpaceDE w:val="0"/>
        <w:autoSpaceDN w:val="0"/>
        <w:adjustRightInd w:val="0"/>
        <w:spacing w:line="360" w:lineRule="auto"/>
        <w:ind w:left="540" w:right="-450"/>
        <w:jc w:val="both"/>
        <w:rPr>
          <w:rFonts w:asciiTheme="majorBidi" w:eastAsia="Calibri" w:hAnsiTheme="majorBidi" w:cstheme="majorBidi"/>
          <w:sz w:val="28"/>
          <w:szCs w:val="28"/>
        </w:rPr>
      </w:pPr>
    </w:p>
    <w:p w:rsidR="00BC5915" w:rsidRPr="00F204FC" w:rsidRDefault="00BC5915" w:rsidP="00BC5915">
      <w:pPr>
        <w:autoSpaceDE w:val="0"/>
        <w:autoSpaceDN w:val="0"/>
        <w:adjustRightInd w:val="0"/>
        <w:spacing w:line="360" w:lineRule="auto"/>
        <w:ind w:left="540" w:right="-450"/>
        <w:jc w:val="both"/>
        <w:rPr>
          <w:rFonts w:asciiTheme="majorBidi" w:eastAsia="Calibri" w:hAnsiTheme="majorBidi" w:cstheme="majorBidi"/>
          <w:sz w:val="28"/>
          <w:szCs w:val="28"/>
        </w:rPr>
      </w:pPr>
    </w:p>
    <w:p w:rsidR="00BC5915" w:rsidRPr="00F204FC" w:rsidRDefault="00BC5915" w:rsidP="00BC5915">
      <w:pPr>
        <w:autoSpaceDE w:val="0"/>
        <w:autoSpaceDN w:val="0"/>
        <w:adjustRightInd w:val="0"/>
        <w:spacing w:line="360" w:lineRule="auto"/>
        <w:ind w:left="540" w:right="-450"/>
        <w:jc w:val="both"/>
        <w:rPr>
          <w:rFonts w:asciiTheme="majorBidi" w:eastAsia="Calibri" w:hAnsiTheme="majorBidi" w:cstheme="majorBidi"/>
          <w:sz w:val="28"/>
          <w:szCs w:val="28"/>
        </w:rPr>
      </w:pPr>
    </w:p>
    <w:p w:rsidR="00BC5915" w:rsidRPr="00F204FC" w:rsidRDefault="00BC5915" w:rsidP="00BC5915">
      <w:pPr>
        <w:autoSpaceDE w:val="0"/>
        <w:autoSpaceDN w:val="0"/>
        <w:adjustRightInd w:val="0"/>
        <w:spacing w:line="360" w:lineRule="auto"/>
        <w:ind w:left="540" w:right="-450"/>
        <w:jc w:val="both"/>
        <w:rPr>
          <w:rFonts w:asciiTheme="majorBidi" w:eastAsia="Calibri" w:hAnsiTheme="majorBidi" w:cstheme="majorBidi"/>
          <w:sz w:val="28"/>
          <w:szCs w:val="28"/>
          <w:lang w:bidi="ar-IQ"/>
        </w:rPr>
      </w:pPr>
    </w:p>
    <w:p w:rsidR="00BC5915" w:rsidRPr="00F204FC" w:rsidRDefault="00BC5915" w:rsidP="00BC5915">
      <w:pPr>
        <w:autoSpaceDE w:val="0"/>
        <w:autoSpaceDN w:val="0"/>
        <w:bidi w:val="0"/>
        <w:adjustRightInd w:val="0"/>
        <w:spacing w:line="360" w:lineRule="auto"/>
        <w:ind w:left="540" w:right="-277"/>
        <w:jc w:val="both"/>
        <w:rPr>
          <w:rFonts w:asciiTheme="majorBidi" w:eastAsia="Calibri" w:hAnsiTheme="majorBidi" w:cstheme="majorBidi"/>
          <w:sz w:val="28"/>
          <w:szCs w:val="28"/>
          <w:rtl/>
          <w:lang w:bidi="ar-IQ"/>
        </w:rPr>
      </w:pPr>
      <w:r w:rsidRPr="00F204FC">
        <w:rPr>
          <w:rFonts w:asciiTheme="majorBidi" w:eastAsia="Calibri" w:hAnsiTheme="majorBidi" w:cstheme="majorBidi"/>
          <w:sz w:val="28"/>
          <w:szCs w:val="28"/>
        </w:rPr>
        <w:t>REF indicates reference gene, TRG target gene, UP to significantly increased, and DOWN to significantly decreased if P value is &lt;0.05 (Target sample is different to control). Not different indicates to target sample is not different to control if P value is &gt; 0.05.</w:t>
      </w:r>
    </w:p>
    <w:p w:rsidR="00BC5915" w:rsidRPr="00F204FC" w:rsidRDefault="00BC5915" w:rsidP="00BC5915">
      <w:pPr>
        <w:tabs>
          <w:tab w:val="left" w:pos="90"/>
          <w:tab w:val="left" w:pos="450"/>
          <w:tab w:val="left" w:pos="9090"/>
        </w:tabs>
        <w:autoSpaceDE w:val="0"/>
        <w:autoSpaceDN w:val="0"/>
        <w:adjustRightInd w:val="0"/>
        <w:spacing w:line="360" w:lineRule="auto"/>
        <w:ind w:left="450" w:right="-187"/>
        <w:jc w:val="right"/>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 xml:space="preserve">Discussion </w:t>
      </w:r>
    </w:p>
    <w:p w:rsidR="00BC5915" w:rsidRPr="00F204FC" w:rsidRDefault="00BC5915" w:rsidP="00BC5915">
      <w:pPr>
        <w:tabs>
          <w:tab w:val="left" w:pos="90"/>
          <w:tab w:val="left" w:pos="450"/>
          <w:tab w:val="left" w:pos="9090"/>
        </w:tabs>
        <w:autoSpaceDE w:val="0"/>
        <w:autoSpaceDN w:val="0"/>
        <w:bidi w:val="0"/>
        <w:adjustRightInd w:val="0"/>
        <w:spacing w:line="360" w:lineRule="auto"/>
        <w:ind w:left="450" w:right="-187"/>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The effects of sub-inhibitory concentrations of certain antibiotics, especially those that inhibit bacterial cell wall, may have an impact in altering both bacterial surface components and interactions of bacteria with host tissues (Stevens </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 xml:space="preserve">., 2007). Since microbial adherence is the initial step of many infectious processes, the ability of antibiotics to </w:t>
      </w:r>
      <w:r w:rsidRPr="00F204FC">
        <w:rPr>
          <w:rFonts w:asciiTheme="majorBidi" w:eastAsia="Calibri" w:hAnsiTheme="majorBidi" w:cstheme="majorBidi"/>
          <w:sz w:val="28"/>
          <w:szCs w:val="28"/>
        </w:rPr>
        <w:lastRenderedPageBreak/>
        <w:t>affect this property may be an important consideration in the selection of an antimicrobial agent to combat staphylococcal infections.</w:t>
      </w:r>
    </w:p>
    <w:p w:rsidR="00BC5915" w:rsidRPr="00F204FC" w:rsidRDefault="00BC5915" w:rsidP="00BC5915">
      <w:pPr>
        <w:tabs>
          <w:tab w:val="left" w:pos="90"/>
          <w:tab w:val="left" w:pos="9090"/>
        </w:tabs>
        <w:autoSpaceDE w:val="0"/>
        <w:autoSpaceDN w:val="0"/>
        <w:bidi w:val="0"/>
        <w:adjustRightInd w:val="0"/>
        <w:spacing w:line="360" w:lineRule="auto"/>
        <w:ind w:left="450" w:right="-187"/>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In this study, analysis of the relative expression of </w:t>
      </w:r>
      <w:r w:rsidRPr="00F204FC">
        <w:rPr>
          <w:rFonts w:asciiTheme="majorBidi" w:eastAsia="Calibri" w:hAnsiTheme="majorBidi" w:cstheme="majorBidi"/>
          <w:i/>
          <w:iCs/>
          <w:sz w:val="28"/>
          <w:szCs w:val="28"/>
        </w:rPr>
        <w:t>ica</w:t>
      </w:r>
      <w:r w:rsidRPr="00F204FC">
        <w:rPr>
          <w:rFonts w:asciiTheme="majorBidi" w:eastAsia="Calibri" w:hAnsiTheme="majorBidi" w:cstheme="majorBidi"/>
          <w:sz w:val="28"/>
          <w:szCs w:val="28"/>
        </w:rPr>
        <w:t>A,B</w:t>
      </w:r>
      <w:r w:rsidRPr="00F204FC">
        <w:rPr>
          <w:rFonts w:asciiTheme="majorBidi" w:eastAsia="Calibri" w:hAnsiTheme="majorBidi" w:cstheme="majorBidi"/>
          <w:i/>
          <w:iCs/>
          <w:sz w:val="28"/>
          <w:szCs w:val="28"/>
        </w:rPr>
        <w:t xml:space="preserve"> </w:t>
      </w:r>
      <w:r w:rsidRPr="00F204FC">
        <w:rPr>
          <w:rFonts w:asciiTheme="majorBidi" w:eastAsia="Calibri" w:hAnsiTheme="majorBidi" w:cstheme="majorBidi"/>
          <w:sz w:val="28"/>
          <w:szCs w:val="28"/>
        </w:rPr>
        <w:t xml:space="preserve">mRNA  after  24  hours  post  </w:t>
      </w:r>
      <w:r w:rsidRPr="00F204FC">
        <w:rPr>
          <w:rFonts w:asciiTheme="majorBidi" w:hAnsiTheme="majorBidi" w:cstheme="majorBidi"/>
          <w:sz w:val="28"/>
          <w:szCs w:val="28"/>
        </w:rPr>
        <w:t xml:space="preserve">vancomycin </w:t>
      </w:r>
      <w:r w:rsidRPr="00F204FC">
        <w:rPr>
          <w:rFonts w:asciiTheme="majorBidi" w:eastAsia="Calibri" w:hAnsiTheme="majorBidi" w:cstheme="majorBidi"/>
          <w:sz w:val="28"/>
          <w:szCs w:val="28"/>
        </w:rPr>
        <w:t xml:space="preserve">additions of sub-MIC reveals a reduction and induction in the amounts of </w:t>
      </w:r>
      <w:r w:rsidRPr="00F204FC">
        <w:rPr>
          <w:rFonts w:asciiTheme="majorBidi" w:hAnsiTheme="majorBidi" w:cstheme="majorBidi"/>
          <w:i/>
          <w:iCs/>
          <w:sz w:val="28"/>
          <w:szCs w:val="28"/>
        </w:rPr>
        <w:t>ica</w:t>
      </w:r>
      <w:r w:rsidRPr="00F204FC">
        <w:rPr>
          <w:rFonts w:asciiTheme="majorBidi" w:hAnsiTheme="majorBidi" w:cstheme="majorBidi"/>
          <w:sz w:val="28"/>
          <w:szCs w:val="28"/>
        </w:rPr>
        <w:t>AB</w:t>
      </w:r>
      <w:r w:rsidRPr="00F204FC">
        <w:rPr>
          <w:rFonts w:asciiTheme="majorBidi" w:eastAsia="Calibri" w:hAnsiTheme="majorBidi" w:cstheme="majorBidi"/>
          <w:sz w:val="28"/>
          <w:szCs w:val="28"/>
        </w:rPr>
        <w:t xml:space="preserve"> target genes  amongst  different isolates of </w:t>
      </w:r>
      <w:r w:rsidRPr="00F204FC">
        <w:rPr>
          <w:rFonts w:asciiTheme="majorBidi" w:eastAsia="Calibri" w:hAnsiTheme="majorBidi" w:cstheme="majorBidi"/>
          <w:i/>
          <w:iCs/>
          <w:sz w:val="28"/>
          <w:szCs w:val="28"/>
        </w:rPr>
        <w:t>S. aureus</w:t>
      </w:r>
      <w:r w:rsidRPr="00F204FC">
        <w:rPr>
          <w:rFonts w:asciiTheme="majorBidi" w:eastAsia="Calibri" w:hAnsiTheme="majorBidi" w:cstheme="majorBidi"/>
          <w:sz w:val="28"/>
          <w:szCs w:val="28"/>
        </w:rPr>
        <w:t xml:space="preserve"> and a general pattern that is not consistent across all isolates. This is particularly important in different isolates of </w:t>
      </w:r>
      <w:r w:rsidRPr="00F204FC">
        <w:rPr>
          <w:rFonts w:asciiTheme="majorBidi" w:eastAsia="Calibri" w:hAnsiTheme="majorBidi" w:cstheme="majorBidi"/>
          <w:i/>
          <w:iCs/>
          <w:sz w:val="28"/>
          <w:szCs w:val="28"/>
        </w:rPr>
        <w:t>S. aureus</w:t>
      </w:r>
      <w:r w:rsidRPr="00F204FC">
        <w:rPr>
          <w:rFonts w:asciiTheme="majorBidi" w:eastAsia="Calibri" w:hAnsiTheme="majorBidi" w:cstheme="majorBidi"/>
          <w:sz w:val="28"/>
          <w:szCs w:val="28"/>
        </w:rPr>
        <w:t xml:space="preserve">, in response to these antibiotics even at low concentrations could lead to worsening outcomes. It is probable that vancomycin treatment generates signals in diverse physiological pathways, which are recognized by multiple signal sensors that in turn activate multiple response regulators (Kuroda </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 xml:space="preserve">., 2003), or it can be speculated that vancomycin can induce stress conditions which interact on regulatory genes, in particular genes involved in two-component regulatory systems, which have been well described in </w:t>
      </w:r>
      <w:r w:rsidRPr="00F204FC">
        <w:rPr>
          <w:rFonts w:asciiTheme="majorBidi" w:eastAsia="Calibri" w:hAnsiTheme="majorBidi" w:cstheme="majorBidi"/>
          <w:i/>
          <w:iCs/>
          <w:sz w:val="28"/>
          <w:szCs w:val="28"/>
        </w:rPr>
        <w:t>S. aureus.</w:t>
      </w:r>
      <w:r w:rsidRPr="00F204FC">
        <w:rPr>
          <w:rFonts w:asciiTheme="majorBidi" w:eastAsia="Calibri" w:hAnsiTheme="majorBidi" w:cstheme="majorBidi"/>
          <w:sz w:val="28"/>
          <w:szCs w:val="28"/>
        </w:rPr>
        <w:t xml:space="preserve">. Similarly, other studies were found that sub-MIC of clindamycin stimulates synthesis of some Biofilm genes at transcription levels (Herbrt </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 xml:space="preserve">., 2001). It was also reported by several researchers, that exposure of staphylococci to cell wall inhibitors caused the rapid and extensive up-regulation of a unique set of genes which had a wide range of functions (Gardete </w:t>
      </w:r>
      <w:r w:rsidRPr="00F204FC">
        <w:rPr>
          <w:rFonts w:asciiTheme="majorBidi" w:eastAsia="Calibri" w:hAnsiTheme="majorBidi" w:cstheme="majorBidi"/>
          <w:i/>
          <w:iCs/>
          <w:sz w:val="28"/>
          <w:szCs w:val="28"/>
        </w:rPr>
        <w:t>et al</w:t>
      </w:r>
      <w:r w:rsidRPr="00F204FC">
        <w:rPr>
          <w:rFonts w:asciiTheme="majorBidi" w:eastAsia="Calibri" w:hAnsiTheme="majorBidi" w:cstheme="majorBidi"/>
          <w:sz w:val="28"/>
          <w:szCs w:val="28"/>
        </w:rPr>
        <w:t xml:space="preserve">., 2006). </w:t>
      </w:r>
    </w:p>
    <w:p w:rsidR="00BC5915" w:rsidRPr="00F204FC" w:rsidRDefault="00BC5915" w:rsidP="00BC5915">
      <w:pPr>
        <w:tabs>
          <w:tab w:val="left" w:pos="9090"/>
        </w:tabs>
        <w:autoSpaceDE w:val="0"/>
        <w:autoSpaceDN w:val="0"/>
        <w:adjustRightInd w:val="0"/>
        <w:spacing w:line="360" w:lineRule="auto"/>
        <w:ind w:left="180" w:right="-187"/>
        <w:jc w:val="right"/>
        <w:rPr>
          <w:rFonts w:asciiTheme="majorBidi" w:eastAsia="Calibri" w:hAnsiTheme="majorBidi" w:cstheme="majorBidi"/>
          <w:sz w:val="28"/>
          <w:szCs w:val="28"/>
        </w:rPr>
      </w:pPr>
    </w:p>
    <w:p w:rsidR="00BC5915" w:rsidRDefault="00BC5915" w:rsidP="00BC5915">
      <w:pPr>
        <w:tabs>
          <w:tab w:val="left" w:pos="9090"/>
        </w:tabs>
        <w:autoSpaceDE w:val="0"/>
        <w:autoSpaceDN w:val="0"/>
        <w:adjustRightInd w:val="0"/>
        <w:spacing w:line="360" w:lineRule="auto"/>
        <w:ind w:left="450" w:right="-187"/>
        <w:jc w:val="right"/>
        <w:rPr>
          <w:rFonts w:asciiTheme="majorBidi" w:eastAsia="Calibri" w:hAnsiTheme="majorBidi" w:cstheme="majorBidi"/>
          <w:sz w:val="28"/>
          <w:szCs w:val="28"/>
        </w:rPr>
      </w:pPr>
      <w:r w:rsidRPr="00F204FC">
        <w:rPr>
          <w:rFonts w:asciiTheme="majorBidi" w:eastAsia="Calibri" w:hAnsiTheme="majorBidi" w:cstheme="majorBidi"/>
          <w:b/>
          <w:bCs/>
          <w:sz w:val="28"/>
          <w:szCs w:val="28"/>
        </w:rPr>
        <w:t>In this study, we conclude</w:t>
      </w:r>
      <w:r w:rsidRPr="00F204FC">
        <w:rPr>
          <w:rFonts w:asciiTheme="majorBidi" w:eastAsia="Calibri" w:hAnsiTheme="majorBidi" w:cstheme="majorBidi"/>
          <w:sz w:val="28"/>
          <w:szCs w:val="28"/>
        </w:rPr>
        <w:t xml:space="preserve">, the   up- and down-modulation of  </w:t>
      </w:r>
      <w:r w:rsidRPr="00F204FC">
        <w:rPr>
          <w:rFonts w:asciiTheme="majorBidi" w:hAnsiTheme="majorBidi" w:cstheme="majorBidi"/>
          <w:i/>
          <w:iCs/>
          <w:sz w:val="28"/>
          <w:szCs w:val="28"/>
        </w:rPr>
        <w:t>ica</w:t>
      </w:r>
      <w:r w:rsidRPr="00F204FC">
        <w:rPr>
          <w:rFonts w:asciiTheme="majorBidi" w:hAnsiTheme="majorBidi" w:cstheme="majorBidi"/>
          <w:sz w:val="28"/>
          <w:szCs w:val="28"/>
        </w:rPr>
        <w:t>A,B</w:t>
      </w:r>
      <w:r w:rsidRPr="00F204FC">
        <w:rPr>
          <w:rFonts w:asciiTheme="majorBidi" w:eastAsia="Calibri" w:hAnsiTheme="majorBidi" w:cstheme="majorBidi"/>
          <w:sz w:val="28"/>
          <w:szCs w:val="28"/>
        </w:rPr>
        <w:t xml:space="preserve"> target genes</w:t>
      </w:r>
      <w:r w:rsidRPr="00F204FC">
        <w:rPr>
          <w:rFonts w:asciiTheme="majorBidi" w:eastAsia="Calibri" w:hAnsiTheme="majorBidi" w:cstheme="majorBidi"/>
          <w:i/>
          <w:iCs/>
          <w:sz w:val="28"/>
          <w:szCs w:val="28"/>
        </w:rPr>
        <w:t xml:space="preserve">, </w:t>
      </w:r>
      <w:r w:rsidRPr="00F204FC">
        <w:rPr>
          <w:rFonts w:asciiTheme="majorBidi" w:eastAsia="Calibri" w:hAnsiTheme="majorBidi" w:cstheme="majorBidi"/>
          <w:sz w:val="28"/>
          <w:szCs w:val="28"/>
        </w:rPr>
        <w:t xml:space="preserve">may be explained  by the different global transcription changes occurred in the presence of low antibiotic concentration, or according to the clonal gentic map variation  of  different </w:t>
      </w:r>
      <w:r w:rsidRPr="00F204FC">
        <w:rPr>
          <w:rFonts w:asciiTheme="majorBidi" w:eastAsia="Calibri" w:hAnsiTheme="majorBidi" w:cstheme="majorBidi"/>
          <w:i/>
          <w:iCs/>
          <w:sz w:val="28"/>
          <w:szCs w:val="28"/>
        </w:rPr>
        <w:t>S. aureus</w:t>
      </w:r>
      <w:r w:rsidRPr="00F204FC">
        <w:rPr>
          <w:rFonts w:asciiTheme="majorBidi" w:eastAsia="Calibri" w:hAnsiTheme="majorBidi" w:cstheme="majorBidi"/>
          <w:sz w:val="28"/>
          <w:szCs w:val="28"/>
        </w:rPr>
        <w:t xml:space="preserve"> clinical isolates, therefore using this antibiotic to treat </w:t>
      </w:r>
      <w:r w:rsidRPr="00F204FC">
        <w:rPr>
          <w:rFonts w:asciiTheme="majorBidi" w:eastAsia="Calibri" w:hAnsiTheme="majorBidi" w:cstheme="majorBidi"/>
          <w:i/>
          <w:iCs/>
          <w:sz w:val="28"/>
          <w:szCs w:val="28"/>
        </w:rPr>
        <w:t xml:space="preserve">S. aureus </w:t>
      </w:r>
      <w:r w:rsidRPr="00F204FC">
        <w:rPr>
          <w:rFonts w:asciiTheme="majorBidi" w:eastAsia="Calibri" w:hAnsiTheme="majorBidi" w:cstheme="majorBidi"/>
          <w:sz w:val="28"/>
          <w:szCs w:val="28"/>
        </w:rPr>
        <w:t xml:space="preserve">infections may contribute to worse outcomes. Further studies are </w:t>
      </w:r>
      <w:r w:rsidRPr="00F204FC">
        <w:rPr>
          <w:rFonts w:asciiTheme="majorBidi" w:eastAsia="Calibri" w:hAnsiTheme="majorBidi" w:cstheme="majorBidi"/>
          <w:sz w:val="28"/>
          <w:szCs w:val="28"/>
        </w:rPr>
        <w:lastRenderedPageBreak/>
        <w:t>needed to answer the question of whether this antibiotic could prove beneficial for patients without their action on bacterial virulence factor release, especially when present at suboptimal concentrations.</w:t>
      </w:r>
    </w:p>
    <w:p w:rsidR="00BC5915" w:rsidRPr="00F204FC" w:rsidRDefault="00BC5915" w:rsidP="00BC5915">
      <w:pPr>
        <w:tabs>
          <w:tab w:val="left" w:pos="9090"/>
        </w:tabs>
        <w:autoSpaceDE w:val="0"/>
        <w:autoSpaceDN w:val="0"/>
        <w:adjustRightInd w:val="0"/>
        <w:spacing w:line="360" w:lineRule="auto"/>
        <w:ind w:left="450" w:right="-187"/>
        <w:jc w:val="right"/>
        <w:rPr>
          <w:rFonts w:asciiTheme="majorBidi" w:eastAsia="Calibri" w:hAnsiTheme="majorBidi" w:cstheme="majorBidi"/>
          <w:sz w:val="28"/>
          <w:szCs w:val="28"/>
        </w:rPr>
      </w:pPr>
    </w:p>
    <w:p w:rsidR="00BC5915" w:rsidRPr="00F204FC" w:rsidRDefault="00BC5915" w:rsidP="00BC5915">
      <w:pPr>
        <w:tabs>
          <w:tab w:val="left" w:pos="8910"/>
          <w:tab w:val="left" w:pos="9000"/>
          <w:tab w:val="left" w:pos="9270"/>
          <w:tab w:val="left" w:pos="9533"/>
        </w:tabs>
        <w:autoSpaceDE w:val="0"/>
        <w:autoSpaceDN w:val="0"/>
        <w:adjustRightInd w:val="0"/>
        <w:spacing w:line="360" w:lineRule="auto"/>
        <w:ind w:left="1350" w:right="-187" w:hanging="810"/>
        <w:jc w:val="right"/>
        <w:rPr>
          <w:rFonts w:asciiTheme="majorBidi" w:hAnsiTheme="majorBidi" w:cstheme="majorBidi"/>
          <w:b/>
          <w:bCs/>
          <w:sz w:val="28"/>
          <w:szCs w:val="28"/>
          <w:rtl/>
          <w:lang w:bidi="ar-IQ"/>
        </w:rPr>
      </w:pPr>
      <w:r w:rsidRPr="00F204FC">
        <w:rPr>
          <w:rFonts w:asciiTheme="majorBidi" w:hAnsiTheme="majorBidi" w:cstheme="majorBidi"/>
          <w:b/>
          <w:bCs/>
          <w:sz w:val="28"/>
          <w:szCs w:val="28"/>
        </w:rPr>
        <w:t>REFERENCES</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Bernardo, K., Pakulat, N., Fleer, S., Schnaith, A., Utermöhlen, O., Krut,O., Müller, S. and Krönke, M. (2004). Subinhibitory concentrations of linezolid reduce </w:t>
      </w:r>
      <w:r w:rsidRPr="00C25C36">
        <w:rPr>
          <w:rFonts w:asciiTheme="minorBidi" w:hAnsiTheme="minorBidi"/>
          <w:i/>
          <w:iCs/>
        </w:rPr>
        <w:t xml:space="preserve">Staphylococcus aureus </w:t>
      </w:r>
      <w:r w:rsidRPr="00C25C36">
        <w:rPr>
          <w:rFonts w:asciiTheme="minorBidi" w:hAnsiTheme="minorBidi"/>
        </w:rPr>
        <w:t xml:space="preserve">virulence factor expression. </w:t>
      </w:r>
      <w:r w:rsidRPr="00C25C36">
        <w:rPr>
          <w:rFonts w:asciiTheme="minorBidi" w:hAnsiTheme="minorBidi"/>
          <w:i/>
          <w:iCs/>
        </w:rPr>
        <w:t>Antimicrob. Agents Chemother</w:t>
      </w:r>
      <w:r w:rsidRPr="00C25C36">
        <w:rPr>
          <w:rFonts w:asciiTheme="minorBidi" w:hAnsiTheme="minorBidi"/>
        </w:rPr>
        <w:t xml:space="preserve">  48: 546-555.</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Crawford, S.E., Boyle-Vavra, S. and Daum, R.S. (2007). Community associated methicillin-resistant </w:t>
      </w:r>
      <w:r w:rsidRPr="00C25C36">
        <w:rPr>
          <w:rFonts w:asciiTheme="minorBidi" w:hAnsiTheme="minorBidi"/>
          <w:i/>
          <w:iCs/>
        </w:rPr>
        <w:t>Staphylococcus aureus</w:t>
      </w:r>
      <w:r w:rsidRPr="00C25C36">
        <w:rPr>
          <w:rFonts w:asciiTheme="minorBidi" w:hAnsiTheme="minorBidi"/>
        </w:rPr>
        <w:t xml:space="preserve">, p. 153-79. </w:t>
      </w:r>
      <w:r w:rsidRPr="00C25C36">
        <w:rPr>
          <w:rFonts w:asciiTheme="minorBidi" w:hAnsiTheme="minorBidi"/>
          <w:i/>
          <w:iCs/>
        </w:rPr>
        <w:t xml:space="preserve">In </w:t>
      </w:r>
      <w:r w:rsidRPr="00C25C36">
        <w:rPr>
          <w:rFonts w:asciiTheme="minorBidi" w:hAnsiTheme="minorBidi"/>
        </w:rPr>
        <w:t>D.C. Hooper, M.W. Scheld, and J.M. Hughes (eds.), Emerging infections, Vol. 7. American Society for Microbiology, Washington, D.C., USA.</w:t>
      </w:r>
    </w:p>
    <w:p w:rsidR="00BC5915" w:rsidRPr="00C25C36" w:rsidRDefault="00BC5915" w:rsidP="00BC5915">
      <w:pPr>
        <w:pStyle w:val="a4"/>
        <w:bidi w:val="0"/>
        <w:jc w:val="both"/>
        <w:rPr>
          <w:rFonts w:asciiTheme="minorBidi" w:eastAsia="Calibri" w:hAnsiTheme="minorBidi"/>
          <w:i/>
          <w:iCs/>
        </w:rPr>
      </w:pPr>
      <w:r w:rsidRPr="00C25C36">
        <w:rPr>
          <w:rFonts w:asciiTheme="minorBidi" w:eastAsia="Calibri" w:hAnsiTheme="minorBidi"/>
        </w:rPr>
        <w:t xml:space="preserve">Clinical and Laboratory Standards Institute. (2011). Performance standards for antimicrobial susceptibility testing; twenty-first informational supplement. </w:t>
      </w:r>
      <w:r w:rsidRPr="00C25C36">
        <w:rPr>
          <w:rFonts w:asciiTheme="minorBidi" w:eastAsia="Calibri" w:hAnsiTheme="minorBidi"/>
          <w:i/>
          <w:iCs/>
        </w:rPr>
        <w:t>Clinical and Laboratory Standards Institute</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Gardete, S., Wu, S.W.,Gill and Tomasz A. (2006). Role of VraSR in Antibiotic Resistance and Antibiotic-Induced Stress Response in </w:t>
      </w:r>
      <w:r w:rsidRPr="00C25C36">
        <w:rPr>
          <w:rFonts w:asciiTheme="minorBidi" w:hAnsiTheme="minorBidi"/>
          <w:i/>
          <w:iCs/>
        </w:rPr>
        <w:t>Staphylococcus aureus.</w:t>
      </w:r>
    </w:p>
    <w:p w:rsidR="00BC5915" w:rsidRPr="00C25C36" w:rsidRDefault="00BC5915" w:rsidP="00BC5915">
      <w:pPr>
        <w:pStyle w:val="a4"/>
        <w:bidi w:val="0"/>
        <w:jc w:val="both"/>
        <w:rPr>
          <w:rFonts w:asciiTheme="minorBidi" w:hAnsiTheme="minorBidi"/>
        </w:rPr>
      </w:pPr>
      <w:r w:rsidRPr="00C25C36">
        <w:rPr>
          <w:rFonts w:asciiTheme="minorBidi" w:hAnsiTheme="minorBidi"/>
          <w:i/>
          <w:iCs/>
        </w:rPr>
        <w:t>Antimicrobial Agents and Chemothera</w:t>
      </w:r>
      <w:r w:rsidRPr="00C25C36">
        <w:rPr>
          <w:rFonts w:asciiTheme="minorBidi" w:hAnsiTheme="minorBidi"/>
        </w:rPr>
        <w:t>py  50 : 3424–3434.</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Herbert, S., Peter, B. and Richard, P. N. (2001). Subinhibitory clindamycin differentially inhibits transcription of exoprotein genes in </w:t>
      </w:r>
      <w:r w:rsidRPr="00C25C36">
        <w:rPr>
          <w:rFonts w:asciiTheme="minorBidi" w:hAnsiTheme="minorBidi"/>
          <w:i/>
          <w:iCs/>
        </w:rPr>
        <w:t>Staphylococcus aureus</w:t>
      </w:r>
      <w:r w:rsidRPr="00C25C36">
        <w:rPr>
          <w:rFonts w:asciiTheme="minorBidi" w:hAnsiTheme="minorBidi"/>
        </w:rPr>
        <w:t xml:space="preserve">. </w:t>
      </w:r>
      <w:r w:rsidRPr="00C25C36">
        <w:rPr>
          <w:rFonts w:asciiTheme="minorBidi" w:hAnsiTheme="minorBidi"/>
          <w:i/>
          <w:iCs/>
        </w:rPr>
        <w:t xml:space="preserve">Infection and Immunity </w:t>
      </w:r>
      <w:r w:rsidRPr="00C25C36">
        <w:rPr>
          <w:rFonts w:asciiTheme="minorBidi" w:hAnsiTheme="minorBidi"/>
        </w:rPr>
        <w:t xml:space="preserve"> 69:2996-3003.</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Kuroda, M.H., Kuroda, T.O., Fumihiko, T., Hirotada, M. and Keiichi, H. (2003). Two-component system VraSR positively modulates theregulation of cell-wall biosynthesis pathway in </w:t>
      </w:r>
      <w:r w:rsidRPr="00C25C36">
        <w:rPr>
          <w:rFonts w:asciiTheme="minorBidi" w:hAnsiTheme="minorBidi"/>
          <w:i/>
          <w:iCs/>
        </w:rPr>
        <w:t xml:space="preserve">Staphylococcus aureus. </w:t>
      </w:r>
      <w:r w:rsidRPr="00C25C36">
        <w:rPr>
          <w:rFonts w:asciiTheme="minorBidi" w:hAnsiTheme="minorBidi"/>
        </w:rPr>
        <w:t>Molecular Microbiology  49: 807–821</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Lindqvist, M., Isaksson, B. Samuelsson, A. Nilsson, L. and A. Hallgren, A. (2009). A clonal outbreak of methicillin-susceptible </w:t>
      </w:r>
      <w:r w:rsidRPr="00C25C36">
        <w:rPr>
          <w:rFonts w:asciiTheme="minorBidi" w:hAnsiTheme="minorBidi"/>
          <w:i/>
          <w:iCs/>
        </w:rPr>
        <w:t>Staphylococcus</w:t>
      </w:r>
      <w:r w:rsidRPr="00C25C36">
        <w:rPr>
          <w:rFonts w:asciiTheme="minorBidi" w:hAnsiTheme="minorBidi"/>
        </w:rPr>
        <w:t xml:space="preserve"> </w:t>
      </w:r>
      <w:r w:rsidRPr="00C25C36">
        <w:rPr>
          <w:rFonts w:asciiTheme="minorBidi" w:hAnsiTheme="minorBidi"/>
          <w:i/>
          <w:iCs/>
        </w:rPr>
        <w:t xml:space="preserve">aureus </w:t>
      </w:r>
      <w:r w:rsidRPr="00C25C36">
        <w:rPr>
          <w:rFonts w:asciiTheme="minorBidi" w:hAnsiTheme="minorBidi"/>
        </w:rPr>
        <w:t xml:space="preserve">with concomitant resistance to erythromycin, clindamycin and tobramycin in a Swedish county. </w:t>
      </w:r>
      <w:r w:rsidRPr="00C25C36">
        <w:rPr>
          <w:rStyle w:val="a5"/>
          <w:rFonts w:asciiTheme="minorBidi" w:hAnsiTheme="minorBidi"/>
          <w:shd w:val="clear" w:color="auto" w:fill="FFFFFF"/>
        </w:rPr>
        <w:t>Scandinavian Journal</w:t>
      </w:r>
      <w:r w:rsidRPr="00C25C36">
        <w:rPr>
          <w:rStyle w:val="apple-converted-space"/>
          <w:rFonts w:asciiTheme="minorBidi" w:hAnsiTheme="minorBidi"/>
          <w:shd w:val="clear" w:color="auto" w:fill="FFFFFF"/>
        </w:rPr>
        <w:t> </w:t>
      </w:r>
      <w:r w:rsidRPr="00C25C36">
        <w:rPr>
          <w:rFonts w:asciiTheme="minorBidi" w:hAnsiTheme="minorBidi"/>
          <w:i/>
          <w:iCs/>
          <w:shd w:val="clear" w:color="auto" w:fill="FFFFFF"/>
        </w:rPr>
        <w:t>of Infectious Diseases</w:t>
      </w:r>
      <w:r w:rsidRPr="00C25C36">
        <w:rPr>
          <w:rFonts w:asciiTheme="minorBidi" w:hAnsiTheme="minorBidi"/>
        </w:rPr>
        <w:t xml:space="preserve"> 41:324-333.</w:t>
      </w:r>
    </w:p>
    <w:p w:rsidR="00BC5915" w:rsidRPr="00C25C36" w:rsidRDefault="00BC5915" w:rsidP="00BC5915">
      <w:pPr>
        <w:pStyle w:val="a4"/>
        <w:bidi w:val="0"/>
        <w:jc w:val="both"/>
        <w:rPr>
          <w:rFonts w:asciiTheme="minorBidi" w:hAnsiTheme="minorBidi"/>
        </w:rPr>
      </w:pPr>
      <w:r w:rsidRPr="00C25C36">
        <w:rPr>
          <w:rFonts w:asciiTheme="minorBidi" w:eastAsia="Calibri" w:hAnsiTheme="minorBidi"/>
        </w:rPr>
        <w:t xml:space="preserve">Salman S. Atshan, </w:t>
      </w:r>
      <w:r w:rsidRPr="00C25C36">
        <w:rPr>
          <w:rFonts w:asciiTheme="minorBidi" w:hAnsiTheme="minorBidi"/>
        </w:rPr>
        <w:t xml:space="preserve">Evaluation of phenotypic and genotypic methods of detecting biofilm-forming methicillin-senstive and methicillin-resistant </w:t>
      </w:r>
      <w:r w:rsidRPr="00C25C36">
        <w:rPr>
          <w:rFonts w:asciiTheme="minorBidi" w:hAnsiTheme="minorBidi"/>
          <w:i/>
          <w:iCs/>
        </w:rPr>
        <w:t>S</w:t>
      </w:r>
      <w:r w:rsidRPr="00C25C36">
        <w:rPr>
          <w:rFonts w:asciiTheme="minorBidi" w:hAnsiTheme="minorBidi"/>
          <w:i/>
        </w:rPr>
        <w:t xml:space="preserve">taphylococcus aureus </w:t>
      </w:r>
      <w:r w:rsidRPr="00C25C36">
        <w:rPr>
          <w:rFonts w:asciiTheme="minorBidi" w:hAnsiTheme="minorBidi"/>
        </w:rPr>
        <w:t>clinical isolates</w:t>
      </w:r>
      <w:r w:rsidRPr="00C25C36">
        <w:rPr>
          <w:rFonts w:asciiTheme="minorBidi" w:eastAsia="Calibri" w:hAnsiTheme="minorBidi"/>
        </w:rPr>
        <w:t xml:space="preserve">. M.Sc dissertation Putra university, Kuala Lumpur. </w:t>
      </w:r>
      <w:r w:rsidRPr="00C25C36">
        <w:rPr>
          <w:rFonts w:asciiTheme="minorBidi" w:hAnsiTheme="minorBidi"/>
        </w:rPr>
        <w:t>February 2010.</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Shibl, A. M. (1987). Influence of Subinhibitory Concentrations of Antibiotics on Virulence of Staphylococci. </w:t>
      </w:r>
      <w:r w:rsidRPr="00C25C36">
        <w:rPr>
          <w:rFonts w:asciiTheme="minorBidi" w:hAnsiTheme="minorBidi"/>
          <w:i/>
          <w:iCs/>
        </w:rPr>
        <w:t>Reviews of Infectious Diseases</w:t>
      </w:r>
      <w:r w:rsidRPr="00C25C36">
        <w:rPr>
          <w:rFonts w:asciiTheme="minorBidi" w:hAnsiTheme="minorBidi"/>
        </w:rPr>
        <w:t xml:space="preserve">  9: 704-712.</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Stevens, D.L., Yongsheng, Ma., Daniel, B. S., Eric, M., Randi, j.W. and Amy E.B. (2007). Impact of antibiotics on expression of virulence- associated exotoxin genes in methicillinsensitive and methicillin-resistant </w:t>
      </w:r>
      <w:r w:rsidRPr="00C25C36">
        <w:rPr>
          <w:rFonts w:asciiTheme="minorBidi" w:hAnsiTheme="minorBidi"/>
          <w:i/>
          <w:iCs/>
        </w:rPr>
        <w:t>Staphylococcus aureus</w:t>
      </w:r>
      <w:r w:rsidRPr="00C25C36">
        <w:rPr>
          <w:rFonts w:asciiTheme="minorBidi" w:hAnsiTheme="minorBidi"/>
        </w:rPr>
        <w:t xml:space="preserve">. </w:t>
      </w:r>
      <w:r w:rsidRPr="00C25C36">
        <w:rPr>
          <w:rFonts w:asciiTheme="minorBidi" w:hAnsiTheme="minorBidi"/>
          <w:i/>
          <w:iCs/>
          <w:shd w:val="clear" w:color="auto" w:fill="FFFFFF"/>
        </w:rPr>
        <w:t>Journal of Infectious Diseases</w:t>
      </w:r>
      <w:r w:rsidRPr="00C25C36">
        <w:rPr>
          <w:rFonts w:asciiTheme="minorBidi" w:hAnsiTheme="minorBidi"/>
          <w:i/>
          <w:iCs/>
        </w:rPr>
        <w:t xml:space="preserve"> </w:t>
      </w:r>
      <w:r w:rsidRPr="00C25C36">
        <w:rPr>
          <w:rFonts w:asciiTheme="minorBidi" w:hAnsiTheme="minorBidi"/>
        </w:rPr>
        <w:t>195:202-211.</w:t>
      </w:r>
    </w:p>
    <w:p w:rsidR="00BC5915" w:rsidRPr="00C25C36" w:rsidRDefault="00BC5915" w:rsidP="00BC5915">
      <w:pPr>
        <w:pStyle w:val="a4"/>
        <w:bidi w:val="0"/>
        <w:jc w:val="both"/>
        <w:rPr>
          <w:rFonts w:asciiTheme="minorBidi" w:hAnsiTheme="minorBidi"/>
        </w:rPr>
      </w:pPr>
      <w:r w:rsidRPr="00C25C36">
        <w:rPr>
          <w:rFonts w:asciiTheme="minorBidi" w:hAnsiTheme="minorBidi"/>
        </w:rPr>
        <w:t xml:space="preserve">Tsiodras, S., Gold, H.S., Sakoulas, G., Eliopoulos, G.M., Wennersten, C., Venkataraman, L., Moellering, R.C. and Ferraro, M.J.(2001). Linezolid resistance in a clinical isolate of </w:t>
      </w:r>
      <w:r w:rsidRPr="00C25C36">
        <w:rPr>
          <w:rFonts w:asciiTheme="minorBidi" w:hAnsiTheme="minorBidi"/>
          <w:i/>
          <w:iCs/>
        </w:rPr>
        <w:t>Staphylococcus aureus</w:t>
      </w:r>
      <w:r w:rsidRPr="00C25C36">
        <w:rPr>
          <w:rFonts w:asciiTheme="minorBidi" w:hAnsiTheme="minorBidi"/>
        </w:rPr>
        <w:t xml:space="preserve">. </w:t>
      </w:r>
      <w:r w:rsidRPr="00C25C36">
        <w:rPr>
          <w:rFonts w:asciiTheme="minorBidi" w:hAnsiTheme="minorBidi"/>
          <w:i/>
          <w:iCs/>
        </w:rPr>
        <w:t xml:space="preserve">Lancet </w:t>
      </w:r>
      <w:r w:rsidRPr="00C25C36">
        <w:rPr>
          <w:rFonts w:asciiTheme="minorBidi" w:hAnsiTheme="minorBidi"/>
        </w:rPr>
        <w:t>358: 207-208.</w:t>
      </w:r>
    </w:p>
    <w:p w:rsidR="00BC5915" w:rsidRPr="00C25C36" w:rsidRDefault="00BC5915" w:rsidP="00BC5915">
      <w:pPr>
        <w:pStyle w:val="a4"/>
        <w:bidi w:val="0"/>
        <w:jc w:val="both"/>
        <w:rPr>
          <w:rFonts w:asciiTheme="minorBidi" w:hAnsiTheme="minorBidi"/>
          <w:sz w:val="24"/>
          <w:szCs w:val="24"/>
        </w:rPr>
      </w:pPr>
      <w:r w:rsidRPr="00C25C36">
        <w:rPr>
          <w:rFonts w:asciiTheme="minorBidi" w:hAnsiTheme="minorBidi"/>
        </w:rPr>
        <w:t xml:space="preserve">Zetola, N., Francis, JS., Nuermberger, EL. and Bishai, WR. (2005) Community-acquired meticillin-resistant </w:t>
      </w:r>
      <w:r w:rsidRPr="00C25C36">
        <w:rPr>
          <w:rFonts w:asciiTheme="minorBidi" w:hAnsiTheme="minorBidi"/>
          <w:i/>
          <w:iCs/>
        </w:rPr>
        <w:t>Staphylococcus aureus:</w:t>
      </w:r>
      <w:r w:rsidRPr="00C25C36">
        <w:rPr>
          <w:rFonts w:asciiTheme="minorBidi" w:hAnsiTheme="minorBidi"/>
        </w:rPr>
        <w:t xml:space="preserve"> an emerging threat. </w:t>
      </w:r>
      <w:r w:rsidRPr="00C25C36">
        <w:rPr>
          <w:rFonts w:asciiTheme="minorBidi" w:hAnsiTheme="minorBidi"/>
          <w:i/>
          <w:iCs/>
        </w:rPr>
        <w:t>The</w:t>
      </w:r>
      <w:r w:rsidRPr="00C25C36">
        <w:rPr>
          <w:rFonts w:asciiTheme="minorBidi" w:hAnsiTheme="minorBidi"/>
        </w:rPr>
        <w:t xml:space="preserve"> </w:t>
      </w:r>
      <w:r w:rsidRPr="00C25C36">
        <w:rPr>
          <w:rStyle w:val="a5"/>
          <w:rFonts w:asciiTheme="minorBidi" w:hAnsiTheme="minorBidi"/>
          <w:shd w:val="clear" w:color="auto" w:fill="FFFFFF"/>
        </w:rPr>
        <w:t>Lancet</w:t>
      </w:r>
      <w:r w:rsidRPr="00C25C36">
        <w:rPr>
          <w:rStyle w:val="apple-converted-space"/>
          <w:rFonts w:asciiTheme="minorBidi" w:hAnsiTheme="minorBidi"/>
          <w:shd w:val="clear" w:color="auto" w:fill="FFFFFF"/>
        </w:rPr>
        <w:t> </w:t>
      </w:r>
      <w:r w:rsidRPr="00C25C36">
        <w:rPr>
          <w:rFonts w:asciiTheme="minorBidi" w:hAnsiTheme="minorBidi"/>
          <w:i/>
          <w:iCs/>
          <w:shd w:val="clear" w:color="auto" w:fill="FFFFFF"/>
        </w:rPr>
        <w:t>Infectious Diseases</w:t>
      </w:r>
      <w:r w:rsidRPr="00C25C36">
        <w:rPr>
          <w:rFonts w:asciiTheme="minorBidi" w:hAnsiTheme="minorBidi"/>
        </w:rPr>
        <w:t xml:space="preserve"> 5: 275–286</w:t>
      </w:r>
    </w:p>
    <w:p w:rsidR="00BC5915" w:rsidRDefault="00BC5915" w:rsidP="00BC5915">
      <w:pPr>
        <w:bidi w:val="0"/>
        <w:rPr>
          <w:rFonts w:asciiTheme="majorBidi" w:hAnsiTheme="majorBidi" w:cstheme="majorBidi"/>
          <w:b/>
          <w:bCs/>
          <w:sz w:val="20"/>
          <w:szCs w:val="20"/>
          <w:rtl/>
        </w:rPr>
      </w:pPr>
      <w:r>
        <w:rPr>
          <w:rFonts w:asciiTheme="majorBidi" w:hAnsiTheme="majorBidi" w:cstheme="majorBidi"/>
          <w:b/>
          <w:bCs/>
          <w:sz w:val="20"/>
          <w:szCs w:val="20"/>
          <w:rtl/>
        </w:rPr>
        <w:br w:type="page"/>
      </w:r>
    </w:p>
    <w:p w:rsidR="006769B6" w:rsidRPr="00BC5915" w:rsidRDefault="006769B6" w:rsidP="00BC5915">
      <w:pPr>
        <w:rPr>
          <w:rFonts w:hint="cs"/>
          <w:rtl/>
        </w:rPr>
      </w:pPr>
      <w:bookmarkStart w:id="0" w:name="_GoBack"/>
      <w:bookmarkEnd w:id="0"/>
    </w:p>
    <w:sectPr w:rsidR="006769B6" w:rsidRPr="00BC5915" w:rsidSect="002B458D">
      <w:headerReference w:type="default" r:id="rId8"/>
      <w:footerReference w:type="default" r:id="rI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HCI-Tulip,Bold-Identity-H">
    <w:altName w:val="MS Mincho"/>
    <w:panose1 w:val="00000000000000000000"/>
    <w:charset w:val="80"/>
    <w:family w:val="auto"/>
    <w:notTrueType/>
    <w:pitch w:val="default"/>
    <w:sig w:usb0="00000001" w:usb1="08070000" w:usb2="00000010" w:usb3="00000000" w:csb0="00020000" w:csb1="00000000"/>
  </w:font>
  <w:font w:name="Warnock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BC5915">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BC5915">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BC5915"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BC5915"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B7569"/>
    <w:rsid w:val="000B7E89"/>
    <w:rsid w:val="00145799"/>
    <w:rsid w:val="002B458D"/>
    <w:rsid w:val="002D46AB"/>
    <w:rsid w:val="00496101"/>
    <w:rsid w:val="005060F7"/>
    <w:rsid w:val="005C610B"/>
    <w:rsid w:val="005C7DFC"/>
    <w:rsid w:val="0066640A"/>
    <w:rsid w:val="006769B6"/>
    <w:rsid w:val="00740B54"/>
    <w:rsid w:val="008E7B33"/>
    <w:rsid w:val="0093322C"/>
    <w:rsid w:val="00943F48"/>
    <w:rsid w:val="00A72391"/>
    <w:rsid w:val="00BC5915"/>
    <w:rsid w:val="00C86DA9"/>
    <w:rsid w:val="00D17700"/>
    <w:rsid w:val="00DA3470"/>
    <w:rsid w:val="00E67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salmanatsh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t&amp;rct=j&amp;q=effects%20of%20sub-mics%20of%20cell-wall%20active%20and%20protein-synthesis%20inhibitor%20antibiotics%20on%20the%20quantity%20of%20biofilm%20genes%20and%20the%20exoproteins%20expression%20of%20%20staphylococcus%20aureu%20clinical%20isolates%20%20&amp;source=web&amp;cd=8&amp;cad=rja&amp;ved=0CF8QFjAH&amp;url=http%3A%2F%2Flib.bioinfo.pl%2Fpaper%3A15616280&amp;ei=zCfmUYSDKourrAfN9YHYBw&amp;usg=AFQjCNEjtKBC5l38Rc53_GF-XLN4DnaO3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9261</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2018-05-08T09:46:00Z</dcterms:created>
  <dcterms:modified xsi:type="dcterms:W3CDTF">2018-05-08T09:46:00Z</dcterms:modified>
</cp:coreProperties>
</file>